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D37F" w14:textId="2EB54252" w:rsidR="00595682" w:rsidRDefault="00595682" w:rsidP="00A522A4">
      <w:pPr>
        <w:pStyle w:val="Overskrift1"/>
        <w:rPr>
          <w:rFonts w:ascii="Arial" w:hAnsi="Arial" w:cs="Arial"/>
        </w:rPr>
      </w:pPr>
      <w:r w:rsidRPr="00556539">
        <w:rPr>
          <w:rFonts w:ascii="Arial" w:hAnsi="Arial" w:cs="Arial"/>
        </w:rPr>
        <w:t>Uddannelse til behandlerfarmaceut</w:t>
      </w:r>
      <w:r w:rsidR="00A06949" w:rsidRPr="00A06949">
        <w:rPr>
          <w:rFonts w:ascii="Arial" w:hAnsi="Arial" w:cs="Arial"/>
        </w:rPr>
        <w:t xml:space="preserve"> </w:t>
      </w:r>
      <w:r w:rsidR="00A06949">
        <w:rPr>
          <w:rFonts w:ascii="Arial" w:hAnsi="Arial" w:cs="Arial"/>
        </w:rPr>
        <w:t xml:space="preserve">– </w:t>
      </w:r>
      <w:r w:rsidR="00A06949" w:rsidRPr="00556539">
        <w:rPr>
          <w:rFonts w:ascii="Arial" w:hAnsi="Arial" w:cs="Arial"/>
        </w:rPr>
        <w:t>Læsepakke</w:t>
      </w:r>
    </w:p>
    <w:p w14:paraId="5F7283B7" w14:textId="77777777" w:rsidR="00A06949" w:rsidRPr="00A06949" w:rsidRDefault="00A06949" w:rsidP="00A06949"/>
    <w:p w14:paraId="2B084F81" w14:textId="2E6707AC" w:rsidR="00A522A4" w:rsidRPr="00556539" w:rsidRDefault="00A522A4">
      <w:pPr>
        <w:rPr>
          <w:rFonts w:ascii="Arial" w:hAnsi="Arial" w:cs="Arial"/>
        </w:rPr>
      </w:pPr>
      <w:r w:rsidRPr="00556539">
        <w:rPr>
          <w:rFonts w:ascii="Arial" w:hAnsi="Arial" w:cs="Arial"/>
        </w:rPr>
        <w:t xml:space="preserve">Læsepakken omfatter såvel </w:t>
      </w:r>
      <w:r w:rsidR="00506CC8" w:rsidRPr="00556539">
        <w:rPr>
          <w:rFonts w:ascii="Arial" w:hAnsi="Arial" w:cs="Arial"/>
        </w:rPr>
        <w:t>forberedelse</w:t>
      </w:r>
      <w:r w:rsidRPr="00556539">
        <w:rPr>
          <w:rFonts w:ascii="Arial" w:hAnsi="Arial" w:cs="Arial"/>
        </w:rPr>
        <w:t xml:space="preserve"> som supplerende </w:t>
      </w:r>
      <w:r w:rsidR="00923499" w:rsidRPr="00556539">
        <w:rPr>
          <w:rFonts w:ascii="Arial" w:hAnsi="Arial" w:cs="Arial"/>
        </w:rPr>
        <w:t>materiale</w:t>
      </w:r>
      <w:r w:rsidR="00506CC8" w:rsidRPr="00556539">
        <w:rPr>
          <w:rFonts w:ascii="Arial" w:hAnsi="Arial" w:cs="Arial"/>
        </w:rPr>
        <w:t xml:space="preserve">. </w:t>
      </w:r>
    </w:p>
    <w:p w14:paraId="4910037D" w14:textId="3F273B7D" w:rsidR="00506CC8" w:rsidRPr="00556539" w:rsidRDefault="00506CC8">
      <w:pPr>
        <w:rPr>
          <w:rFonts w:ascii="Arial" w:hAnsi="Arial" w:cs="Arial"/>
        </w:rPr>
      </w:pPr>
      <w:r w:rsidRPr="00556539">
        <w:rPr>
          <w:rFonts w:ascii="Arial" w:hAnsi="Arial" w:cs="Arial"/>
        </w:rPr>
        <w:t>Materialet til forberedelse er det, der ligger til grund for undervisningen på kursusdag 1. På kursusdag 2 skal du anvende det i arbejdet med genordination og ordination af dosisdispensering. Det vil være nyttigt for dig at have gennemgået det inden kursusdag 1.</w:t>
      </w:r>
    </w:p>
    <w:p w14:paraId="5B25EC7A" w14:textId="7ABE0F63" w:rsidR="00506CC8" w:rsidRDefault="00506CC8">
      <w:pPr>
        <w:rPr>
          <w:rFonts w:ascii="Arial" w:hAnsi="Arial" w:cs="Arial"/>
        </w:rPr>
      </w:pPr>
      <w:r w:rsidRPr="00556539">
        <w:rPr>
          <w:rFonts w:ascii="Arial" w:hAnsi="Arial" w:cs="Arial"/>
        </w:rPr>
        <w:t>Vi har delt materialet op i temaer</w:t>
      </w:r>
      <w:r w:rsidR="00D81B09" w:rsidRPr="00556539">
        <w:rPr>
          <w:rFonts w:ascii="Arial" w:hAnsi="Arial" w:cs="Arial"/>
        </w:rPr>
        <w:t>, så du har et overblik over reglerne indenfor de enkelte områder.</w:t>
      </w:r>
    </w:p>
    <w:p w14:paraId="686153BB" w14:textId="77777777" w:rsidR="00A06949" w:rsidRDefault="00A06949">
      <w:pPr>
        <w:rPr>
          <w:rFonts w:ascii="Arial" w:hAnsi="Arial" w:cs="Arial"/>
        </w:rPr>
      </w:pPr>
    </w:p>
    <w:p w14:paraId="6EE0F680" w14:textId="1FF995A7" w:rsidR="00556539" w:rsidRDefault="00556539" w:rsidP="00556539">
      <w:pPr>
        <w:pStyle w:val="Overskrift2"/>
      </w:pPr>
      <w:r>
        <w:t>Forberedelse</w:t>
      </w:r>
    </w:p>
    <w:p w14:paraId="4256CFA3" w14:textId="73AEFB18" w:rsidR="0090785D" w:rsidRPr="00556539" w:rsidRDefault="0090785D" w:rsidP="00556539">
      <w:pPr>
        <w:pStyle w:val="Overskrift3"/>
      </w:pPr>
      <w:r w:rsidRPr="00556539">
        <w:t>Behandlerfarmaceutens pligter og ansvar</w:t>
      </w:r>
      <w:r w:rsidR="00A522A4" w:rsidRPr="00556539">
        <w:t xml:space="preserve"> </w:t>
      </w:r>
    </w:p>
    <w:p w14:paraId="1768770F" w14:textId="77777777" w:rsidR="0090785D" w:rsidRPr="00556539" w:rsidRDefault="0090785D" w:rsidP="0090785D">
      <w:pPr>
        <w:numPr>
          <w:ilvl w:val="0"/>
          <w:numId w:val="1"/>
        </w:numPr>
        <w:tabs>
          <w:tab w:val="clear" w:pos="360"/>
          <w:tab w:val="num" w:pos="720"/>
        </w:tabs>
        <w:rPr>
          <w:rFonts w:ascii="Arial" w:hAnsi="Arial" w:cs="Arial"/>
        </w:rPr>
      </w:pPr>
      <w:r w:rsidRPr="00556539">
        <w:rPr>
          <w:rFonts w:ascii="Arial" w:hAnsi="Arial" w:cs="Arial"/>
        </w:rPr>
        <w:t xml:space="preserve">Bekendtgørelse om behandlerfarmaceuters virksomhedsområde. </w:t>
      </w:r>
      <w:r w:rsidR="00C34B7B" w:rsidRPr="00556539">
        <w:rPr>
          <w:rFonts w:ascii="Arial" w:hAnsi="Arial" w:cs="Arial"/>
        </w:rPr>
        <w:t xml:space="preserve">BEK </w:t>
      </w:r>
      <w:proofErr w:type="spellStart"/>
      <w:r w:rsidR="00C34B7B" w:rsidRPr="00556539">
        <w:rPr>
          <w:rFonts w:ascii="Arial" w:hAnsi="Arial" w:cs="Arial"/>
        </w:rPr>
        <w:t>nr</w:t>
      </w:r>
      <w:proofErr w:type="spellEnd"/>
      <w:r w:rsidR="00C34B7B" w:rsidRPr="00556539">
        <w:rPr>
          <w:rFonts w:ascii="Arial" w:hAnsi="Arial" w:cs="Arial"/>
        </w:rPr>
        <w:t xml:space="preserve"> 260 af 07/03/2019</w:t>
      </w:r>
      <w:r w:rsidRPr="00556539">
        <w:rPr>
          <w:rFonts w:ascii="Arial" w:hAnsi="Arial" w:cs="Arial"/>
        </w:rPr>
        <w:t xml:space="preserve"> </w:t>
      </w:r>
      <w:hyperlink r:id="rId7" w:history="1">
        <w:r w:rsidRPr="00556539">
          <w:rPr>
            <w:rStyle w:val="Hyperlink"/>
            <w:rFonts w:ascii="Arial" w:hAnsi="Arial" w:cs="Arial"/>
          </w:rPr>
          <w:t>https://www.retsinformation.dk/pdfPrint.aspx?id=208085</w:t>
        </w:r>
      </w:hyperlink>
    </w:p>
    <w:p w14:paraId="1DAC41EF" w14:textId="77777777" w:rsidR="0090785D" w:rsidRPr="00556539" w:rsidRDefault="0090785D" w:rsidP="0090785D">
      <w:pPr>
        <w:numPr>
          <w:ilvl w:val="0"/>
          <w:numId w:val="1"/>
        </w:numPr>
        <w:tabs>
          <w:tab w:val="clear" w:pos="360"/>
          <w:tab w:val="num" w:pos="720"/>
        </w:tabs>
        <w:rPr>
          <w:rFonts w:ascii="Arial" w:hAnsi="Arial" w:cs="Arial"/>
        </w:rPr>
      </w:pPr>
      <w:r w:rsidRPr="00556539">
        <w:rPr>
          <w:rFonts w:ascii="Arial" w:hAnsi="Arial" w:cs="Arial"/>
        </w:rPr>
        <w:t>Lov om ændring af lov om autorisation af sundhedspersoner og om sundhedsfaglig virksomhed, lov om apoteksvirksomhed, sundhedsloven og forskellige andre love</w:t>
      </w:r>
      <w:r w:rsidR="00C34B7B" w:rsidRPr="00556539">
        <w:rPr>
          <w:rFonts w:ascii="Arial" w:hAnsi="Arial" w:cs="Arial"/>
        </w:rPr>
        <w:t xml:space="preserve">. LOV </w:t>
      </w:r>
      <w:proofErr w:type="spellStart"/>
      <w:r w:rsidR="00C34B7B" w:rsidRPr="00556539">
        <w:rPr>
          <w:rFonts w:ascii="Arial" w:hAnsi="Arial" w:cs="Arial"/>
        </w:rPr>
        <w:t>nr</w:t>
      </w:r>
      <w:proofErr w:type="spellEnd"/>
      <w:r w:rsidR="00C34B7B" w:rsidRPr="00556539">
        <w:rPr>
          <w:rFonts w:ascii="Arial" w:hAnsi="Arial" w:cs="Arial"/>
        </w:rPr>
        <w:t xml:space="preserve"> 1555 af 18/12/2018</w:t>
      </w:r>
      <w:r w:rsidRPr="00556539">
        <w:rPr>
          <w:rFonts w:ascii="Arial" w:hAnsi="Arial" w:cs="Arial"/>
        </w:rPr>
        <w:t xml:space="preserve"> </w:t>
      </w:r>
      <w:hyperlink r:id="rId8" w:history="1">
        <w:r w:rsidRPr="00556539">
          <w:rPr>
            <w:rStyle w:val="Hyperlink"/>
            <w:rFonts w:ascii="Arial" w:hAnsi="Arial" w:cs="Arial"/>
          </w:rPr>
          <w:t>https://www.retsinformation.dk/pdfPrint.aspx?id=205281</w:t>
        </w:r>
      </w:hyperlink>
    </w:p>
    <w:p w14:paraId="7FD8509C" w14:textId="409938DB" w:rsidR="00556539" w:rsidRPr="00A06949" w:rsidRDefault="0090785D" w:rsidP="00A06949">
      <w:pPr>
        <w:numPr>
          <w:ilvl w:val="0"/>
          <w:numId w:val="1"/>
        </w:numPr>
        <w:tabs>
          <w:tab w:val="clear" w:pos="360"/>
          <w:tab w:val="num" w:pos="720"/>
        </w:tabs>
        <w:rPr>
          <w:rFonts w:ascii="Arial" w:hAnsi="Arial" w:cs="Arial"/>
        </w:rPr>
      </w:pPr>
      <w:r w:rsidRPr="00556539">
        <w:rPr>
          <w:rFonts w:ascii="Arial" w:hAnsi="Arial" w:cs="Arial"/>
        </w:rPr>
        <w:t>Bekendtgørelse af lov om autorisation af sundhedspersoner og om sundhedsfaglig virksomhed</w:t>
      </w:r>
      <w:r w:rsidR="00C34B7B" w:rsidRPr="00556539">
        <w:rPr>
          <w:rFonts w:ascii="Arial" w:hAnsi="Arial" w:cs="Arial"/>
        </w:rPr>
        <w:t xml:space="preserve">. Bek </w:t>
      </w:r>
      <w:proofErr w:type="spellStart"/>
      <w:r w:rsidR="00C34B7B" w:rsidRPr="00556539">
        <w:rPr>
          <w:rFonts w:ascii="Arial" w:hAnsi="Arial" w:cs="Arial"/>
        </w:rPr>
        <w:t>nr</w:t>
      </w:r>
      <w:proofErr w:type="spellEnd"/>
      <w:r w:rsidR="00C34B7B" w:rsidRPr="00556539">
        <w:rPr>
          <w:rFonts w:ascii="Arial" w:hAnsi="Arial" w:cs="Arial"/>
        </w:rPr>
        <w:t xml:space="preserve"> 1141 af 19/09/2018</w:t>
      </w:r>
      <w:r w:rsidRPr="00556539">
        <w:rPr>
          <w:rFonts w:ascii="Arial" w:hAnsi="Arial" w:cs="Arial"/>
        </w:rPr>
        <w:t xml:space="preserve"> </w:t>
      </w:r>
      <w:hyperlink r:id="rId9" w:history="1">
        <w:r w:rsidRPr="00556539">
          <w:rPr>
            <w:rStyle w:val="Hyperlink"/>
            <w:rFonts w:ascii="Arial" w:hAnsi="Arial" w:cs="Arial"/>
          </w:rPr>
          <w:t>https://www.retsinformation.dk/pdfPrint.aspx?id=202412</w:t>
        </w:r>
      </w:hyperlink>
      <w:r w:rsidR="00A06949">
        <w:rPr>
          <w:rStyle w:val="Hyperlink"/>
          <w:rFonts w:ascii="Arial" w:hAnsi="Arial" w:cs="Arial"/>
          <w:color w:val="auto"/>
          <w:u w:val="none"/>
        </w:rPr>
        <w:br/>
      </w:r>
    </w:p>
    <w:p w14:paraId="283005C4" w14:textId="41A55C72" w:rsidR="0090785D" w:rsidRPr="00556539" w:rsidRDefault="0090785D" w:rsidP="00556539">
      <w:pPr>
        <w:pStyle w:val="Overskrift3"/>
      </w:pPr>
      <w:r w:rsidRPr="00556539">
        <w:t>Journalføring og kommunikation</w:t>
      </w:r>
    </w:p>
    <w:p w14:paraId="5559EF5E" w14:textId="77777777" w:rsidR="0090785D" w:rsidRPr="00556539" w:rsidRDefault="0090785D" w:rsidP="0090785D">
      <w:pPr>
        <w:numPr>
          <w:ilvl w:val="0"/>
          <w:numId w:val="2"/>
        </w:numPr>
        <w:tabs>
          <w:tab w:val="clear" w:pos="720"/>
          <w:tab w:val="num" w:pos="360"/>
        </w:tabs>
        <w:ind w:left="360"/>
        <w:rPr>
          <w:rFonts w:ascii="Arial" w:hAnsi="Arial" w:cs="Arial"/>
        </w:rPr>
      </w:pPr>
      <w:r w:rsidRPr="00556539">
        <w:rPr>
          <w:rFonts w:ascii="Arial" w:hAnsi="Arial" w:cs="Arial"/>
        </w:rPr>
        <w:t xml:space="preserve">Bekendtgørelse om autoriserede sundhedspersoners patientjournaler </w:t>
      </w:r>
      <w:r w:rsidR="00C34B7B" w:rsidRPr="00556539">
        <w:rPr>
          <w:rFonts w:ascii="Arial" w:hAnsi="Arial" w:cs="Arial"/>
        </w:rPr>
        <w:t xml:space="preserve">(journalføring, opbevaring, videregivelse og overdragelse m.v.) Bek </w:t>
      </w:r>
      <w:proofErr w:type="spellStart"/>
      <w:r w:rsidR="00C34B7B" w:rsidRPr="00556539">
        <w:rPr>
          <w:rFonts w:ascii="Arial" w:hAnsi="Arial" w:cs="Arial"/>
        </w:rPr>
        <w:t>nr</w:t>
      </w:r>
      <w:proofErr w:type="spellEnd"/>
      <w:r w:rsidR="00C34B7B" w:rsidRPr="00556539">
        <w:rPr>
          <w:rFonts w:ascii="Arial" w:hAnsi="Arial" w:cs="Arial"/>
        </w:rPr>
        <w:t xml:space="preserve"> 530 af 24/05/2018 </w:t>
      </w:r>
      <w:hyperlink r:id="rId10" w:history="1">
        <w:r w:rsidR="00C34B7B" w:rsidRPr="00556539">
          <w:rPr>
            <w:rStyle w:val="Hyperlink"/>
            <w:rFonts w:ascii="Arial" w:hAnsi="Arial" w:cs="Arial"/>
          </w:rPr>
          <w:t>https://www.retsinformation.dk/pdfPrint.aspx?id=201378</w:t>
        </w:r>
      </w:hyperlink>
    </w:p>
    <w:p w14:paraId="7640C7B4" w14:textId="77777777" w:rsidR="0090785D" w:rsidRPr="00556539" w:rsidRDefault="0090785D" w:rsidP="0090785D">
      <w:pPr>
        <w:numPr>
          <w:ilvl w:val="0"/>
          <w:numId w:val="2"/>
        </w:numPr>
        <w:tabs>
          <w:tab w:val="clear" w:pos="720"/>
          <w:tab w:val="num" w:pos="360"/>
        </w:tabs>
        <w:ind w:left="360"/>
        <w:rPr>
          <w:rFonts w:ascii="Arial" w:hAnsi="Arial" w:cs="Arial"/>
        </w:rPr>
      </w:pPr>
      <w:bookmarkStart w:id="0" w:name="_Hlk5976096"/>
      <w:r w:rsidRPr="00556539">
        <w:rPr>
          <w:rFonts w:ascii="Arial" w:hAnsi="Arial" w:cs="Arial"/>
        </w:rPr>
        <w:t xml:space="preserve">Bekendtgørelse om information og samtykke </w:t>
      </w:r>
      <w:r w:rsidR="00C34B7B" w:rsidRPr="00556539">
        <w:rPr>
          <w:rFonts w:ascii="Arial" w:hAnsi="Arial" w:cs="Arial"/>
        </w:rPr>
        <w:t xml:space="preserve">i forbindelse med behandling </w:t>
      </w:r>
      <w:r w:rsidRPr="00556539">
        <w:rPr>
          <w:rFonts w:ascii="Arial" w:hAnsi="Arial" w:cs="Arial"/>
        </w:rPr>
        <w:t xml:space="preserve">og </w:t>
      </w:r>
      <w:r w:rsidR="00C34B7B" w:rsidRPr="00556539">
        <w:rPr>
          <w:rFonts w:ascii="Arial" w:hAnsi="Arial" w:cs="Arial"/>
        </w:rPr>
        <w:t>ved</w:t>
      </w:r>
      <w:r w:rsidRPr="00556539">
        <w:rPr>
          <w:rFonts w:ascii="Arial" w:hAnsi="Arial" w:cs="Arial"/>
        </w:rPr>
        <w:t xml:space="preserve"> videregivelse </w:t>
      </w:r>
      <w:r w:rsidR="00C34B7B" w:rsidRPr="00556539">
        <w:rPr>
          <w:rFonts w:ascii="Arial" w:hAnsi="Arial" w:cs="Arial"/>
        </w:rPr>
        <w:t xml:space="preserve">og indhentning af helbredsoplysninger m.v. BEK </w:t>
      </w:r>
      <w:proofErr w:type="spellStart"/>
      <w:r w:rsidR="00C34B7B" w:rsidRPr="00556539">
        <w:rPr>
          <w:rFonts w:ascii="Arial" w:hAnsi="Arial" w:cs="Arial"/>
        </w:rPr>
        <w:t>nr</w:t>
      </w:r>
      <w:proofErr w:type="spellEnd"/>
      <w:r w:rsidR="00C34B7B" w:rsidRPr="00556539">
        <w:rPr>
          <w:rFonts w:ascii="Arial" w:hAnsi="Arial" w:cs="Arial"/>
        </w:rPr>
        <w:t xml:space="preserve"> 359 af 04/04/2019</w:t>
      </w:r>
      <w:r w:rsidRPr="00556539">
        <w:rPr>
          <w:rFonts w:ascii="Arial" w:hAnsi="Arial" w:cs="Arial"/>
        </w:rPr>
        <w:t xml:space="preserve"> </w:t>
      </w:r>
      <w:bookmarkEnd w:id="0"/>
      <w:r w:rsidR="00AE27C7" w:rsidRPr="00556539">
        <w:fldChar w:fldCharType="begin"/>
      </w:r>
      <w:r w:rsidR="00AE27C7" w:rsidRPr="00556539">
        <w:rPr>
          <w:rFonts w:ascii="Arial" w:hAnsi="Arial" w:cs="Arial"/>
        </w:rPr>
        <w:instrText xml:space="preserve"> HYPERLINK "https://www.retsinformation.dk/pdfPrint.aspx?id=208414" </w:instrText>
      </w:r>
      <w:r w:rsidR="00AE27C7" w:rsidRPr="00556539">
        <w:fldChar w:fldCharType="separate"/>
      </w:r>
      <w:r w:rsidRPr="00556539">
        <w:rPr>
          <w:rStyle w:val="Hyperlink"/>
          <w:rFonts w:ascii="Arial" w:hAnsi="Arial" w:cs="Arial"/>
        </w:rPr>
        <w:t>https://www.retsinformation.dk/pdfPrint.aspx?id=208414</w:t>
      </w:r>
      <w:r w:rsidR="00AE27C7" w:rsidRPr="00556539">
        <w:rPr>
          <w:rStyle w:val="Hyperlink"/>
          <w:rFonts w:ascii="Arial" w:hAnsi="Arial" w:cs="Arial"/>
        </w:rPr>
        <w:fldChar w:fldCharType="end"/>
      </w:r>
    </w:p>
    <w:p w14:paraId="2E3A4D70" w14:textId="77777777" w:rsidR="0090785D" w:rsidRPr="00556539" w:rsidRDefault="0090785D" w:rsidP="0090785D">
      <w:pPr>
        <w:numPr>
          <w:ilvl w:val="0"/>
          <w:numId w:val="2"/>
        </w:numPr>
        <w:tabs>
          <w:tab w:val="clear" w:pos="720"/>
          <w:tab w:val="num" w:pos="360"/>
        </w:tabs>
        <w:ind w:left="360"/>
        <w:rPr>
          <w:rFonts w:ascii="Arial" w:hAnsi="Arial" w:cs="Arial"/>
        </w:rPr>
      </w:pPr>
      <w:r w:rsidRPr="00556539">
        <w:rPr>
          <w:rFonts w:ascii="Arial" w:hAnsi="Arial" w:cs="Arial"/>
        </w:rPr>
        <w:t xml:space="preserve">Bekendtgørelse om recepter og dosisdispensering af lægemidler </w:t>
      </w:r>
      <w:r w:rsidR="00C34B7B" w:rsidRPr="00556539">
        <w:rPr>
          <w:rFonts w:ascii="Arial" w:hAnsi="Arial" w:cs="Arial"/>
        </w:rPr>
        <w:t xml:space="preserve">BEK </w:t>
      </w:r>
      <w:proofErr w:type="spellStart"/>
      <w:r w:rsidR="00C34B7B" w:rsidRPr="00556539">
        <w:rPr>
          <w:rFonts w:ascii="Arial" w:hAnsi="Arial" w:cs="Arial"/>
        </w:rPr>
        <w:t>nr</w:t>
      </w:r>
      <w:proofErr w:type="spellEnd"/>
      <w:r w:rsidR="00C34B7B" w:rsidRPr="00556539">
        <w:rPr>
          <w:rFonts w:ascii="Arial" w:hAnsi="Arial" w:cs="Arial"/>
        </w:rPr>
        <w:t xml:space="preserve"> 1654 af 18/12/2018 </w:t>
      </w:r>
      <w:hyperlink r:id="rId11" w:history="1">
        <w:r w:rsidR="00C34B7B" w:rsidRPr="00556539">
          <w:rPr>
            <w:rStyle w:val="Hyperlink"/>
            <w:rFonts w:ascii="Arial" w:hAnsi="Arial" w:cs="Arial"/>
          </w:rPr>
          <w:t>https://www.retsinformation.dk/pdfPrint.aspx?id=205950</w:t>
        </w:r>
      </w:hyperlink>
    </w:p>
    <w:p w14:paraId="1B87BE89" w14:textId="667D4888" w:rsidR="00556539" w:rsidRPr="00A06949" w:rsidRDefault="0090785D" w:rsidP="00A06949">
      <w:pPr>
        <w:numPr>
          <w:ilvl w:val="0"/>
          <w:numId w:val="2"/>
        </w:numPr>
        <w:tabs>
          <w:tab w:val="clear" w:pos="720"/>
          <w:tab w:val="num" w:pos="360"/>
        </w:tabs>
        <w:ind w:left="360"/>
        <w:rPr>
          <w:rFonts w:ascii="Arial" w:hAnsi="Arial" w:cs="Arial"/>
        </w:rPr>
      </w:pPr>
      <w:r w:rsidRPr="00556539">
        <w:rPr>
          <w:rFonts w:ascii="Arial" w:hAnsi="Arial" w:cs="Arial"/>
        </w:rPr>
        <w:t>Vejledning om information og samtykke og om videregivelse af helbredsoplysninger</w:t>
      </w:r>
      <w:r w:rsidR="00C34B7B" w:rsidRPr="00556539">
        <w:rPr>
          <w:rFonts w:ascii="Arial" w:hAnsi="Arial" w:cs="Arial"/>
        </w:rPr>
        <w:t xml:space="preserve"> VEJ </w:t>
      </w:r>
      <w:proofErr w:type="spellStart"/>
      <w:r w:rsidR="00C34B7B" w:rsidRPr="00556539">
        <w:rPr>
          <w:rFonts w:ascii="Arial" w:hAnsi="Arial" w:cs="Arial"/>
        </w:rPr>
        <w:t>nr</w:t>
      </w:r>
      <w:proofErr w:type="spellEnd"/>
      <w:r w:rsidR="00C34B7B" w:rsidRPr="00556539">
        <w:rPr>
          <w:rFonts w:ascii="Arial" w:hAnsi="Arial" w:cs="Arial"/>
        </w:rPr>
        <w:t xml:space="preserve"> 161 af 16/09/1998 </w:t>
      </w:r>
      <w:hyperlink r:id="rId12" w:history="1">
        <w:r w:rsidR="00C34B7B" w:rsidRPr="00556539">
          <w:rPr>
            <w:rStyle w:val="Hyperlink"/>
            <w:rFonts w:ascii="Arial" w:hAnsi="Arial" w:cs="Arial"/>
          </w:rPr>
          <w:t>https://www.retsinformation.dk/Forms/R0710.aspx?id=21076</w:t>
        </w:r>
      </w:hyperlink>
      <w:r w:rsidR="00A06949">
        <w:rPr>
          <w:rStyle w:val="Hyperlink"/>
          <w:rFonts w:ascii="Arial" w:hAnsi="Arial" w:cs="Arial"/>
          <w:color w:val="auto"/>
          <w:u w:val="none"/>
        </w:rPr>
        <w:br/>
      </w:r>
    </w:p>
    <w:p w14:paraId="20184F30" w14:textId="44EEE303" w:rsidR="0090785D" w:rsidRPr="00556539" w:rsidRDefault="00C34B7B" w:rsidP="00556539">
      <w:pPr>
        <w:pStyle w:val="Overskrift3"/>
      </w:pPr>
      <w:r w:rsidRPr="00556539">
        <w:t>Rapportering</w:t>
      </w:r>
      <w:r w:rsidR="00D81B09" w:rsidRPr="00556539">
        <w:t xml:space="preserve"> og indberetning</w:t>
      </w:r>
    </w:p>
    <w:p w14:paraId="5FA2B462" w14:textId="77777777" w:rsidR="00C34B7B" w:rsidRPr="00556539" w:rsidRDefault="00C34B7B" w:rsidP="00556539">
      <w:pPr>
        <w:numPr>
          <w:ilvl w:val="0"/>
          <w:numId w:val="3"/>
        </w:numPr>
        <w:tabs>
          <w:tab w:val="clear" w:pos="360"/>
          <w:tab w:val="num" w:pos="720"/>
        </w:tabs>
        <w:spacing w:after="120"/>
        <w:rPr>
          <w:rStyle w:val="Hyperlink"/>
          <w:rFonts w:ascii="Arial" w:hAnsi="Arial" w:cs="Arial"/>
          <w:color w:val="auto"/>
          <w:u w:val="none"/>
        </w:rPr>
      </w:pPr>
      <w:r w:rsidRPr="00556539">
        <w:rPr>
          <w:rFonts w:ascii="Arial" w:hAnsi="Arial" w:cs="Arial"/>
        </w:rPr>
        <w:t xml:space="preserve">Bekendtgørelse om rapportering af utilsigtede hændelser i sundhedsvæsenet m.v. </w:t>
      </w:r>
      <w:r w:rsidR="005C2E2D" w:rsidRPr="00556539">
        <w:rPr>
          <w:rFonts w:ascii="Arial" w:hAnsi="Arial" w:cs="Arial"/>
        </w:rPr>
        <w:t xml:space="preserve">BEK </w:t>
      </w:r>
      <w:proofErr w:type="spellStart"/>
      <w:r w:rsidR="005C2E2D" w:rsidRPr="00556539">
        <w:rPr>
          <w:rFonts w:ascii="Arial" w:hAnsi="Arial" w:cs="Arial"/>
        </w:rPr>
        <w:t>nr</w:t>
      </w:r>
      <w:proofErr w:type="spellEnd"/>
      <w:r w:rsidR="005C2E2D" w:rsidRPr="00556539">
        <w:rPr>
          <w:rFonts w:ascii="Arial" w:hAnsi="Arial" w:cs="Arial"/>
        </w:rPr>
        <w:t xml:space="preserve"> 1 AF 03/01/2011 </w:t>
      </w:r>
      <w:hyperlink r:id="rId13" w:history="1">
        <w:r w:rsidR="005C2E2D" w:rsidRPr="00556539">
          <w:rPr>
            <w:rStyle w:val="Hyperlink"/>
            <w:rFonts w:ascii="Arial" w:hAnsi="Arial" w:cs="Arial"/>
          </w:rPr>
          <w:t>https://www.retsinformation.dk/pdfPrint.aspx?id=134520</w:t>
        </w:r>
      </w:hyperlink>
    </w:p>
    <w:p w14:paraId="7FEF0C88" w14:textId="77777777" w:rsidR="00CC3026" w:rsidRPr="00556539" w:rsidRDefault="00454EA1" w:rsidP="00C34B7B">
      <w:pPr>
        <w:numPr>
          <w:ilvl w:val="0"/>
          <w:numId w:val="3"/>
        </w:numPr>
        <w:tabs>
          <w:tab w:val="clear" w:pos="360"/>
          <w:tab w:val="num" w:pos="720"/>
        </w:tabs>
        <w:rPr>
          <w:rFonts w:ascii="Arial" w:hAnsi="Arial" w:cs="Arial"/>
        </w:rPr>
      </w:pPr>
      <w:r w:rsidRPr="00556539">
        <w:rPr>
          <w:rFonts w:ascii="Arial" w:hAnsi="Arial" w:cs="Arial"/>
        </w:rPr>
        <w:t xml:space="preserve">Rapporter en utilsigtet hændelse som sundhedsperson. Opdateret 1. november 2018. </w:t>
      </w:r>
      <w:hyperlink r:id="rId14" w:history="1">
        <w:r w:rsidRPr="00556539">
          <w:rPr>
            <w:rStyle w:val="Hyperlink"/>
            <w:rFonts w:ascii="Arial" w:hAnsi="Arial" w:cs="Arial"/>
          </w:rPr>
          <w:t>https://stps.dk/da/sundhedsprofessionelle-og-myndigheder/rapporter-en-utilsigtet-haendelse/</w:t>
        </w:r>
      </w:hyperlink>
    </w:p>
    <w:p w14:paraId="10C0C40E" w14:textId="77777777" w:rsidR="00C34B7B" w:rsidRPr="00556539" w:rsidRDefault="00C34B7B" w:rsidP="00C34B7B">
      <w:pPr>
        <w:numPr>
          <w:ilvl w:val="0"/>
          <w:numId w:val="3"/>
        </w:numPr>
        <w:tabs>
          <w:tab w:val="clear" w:pos="360"/>
          <w:tab w:val="num" w:pos="720"/>
        </w:tabs>
        <w:rPr>
          <w:rFonts w:ascii="Arial" w:hAnsi="Arial" w:cs="Arial"/>
        </w:rPr>
      </w:pPr>
      <w:r w:rsidRPr="00556539">
        <w:rPr>
          <w:rFonts w:ascii="Arial" w:hAnsi="Arial" w:cs="Arial"/>
        </w:rPr>
        <w:t xml:space="preserve">Vejledning om rapportering af utilsigtede hændelser i sundhedsvæsenet m.v. </w:t>
      </w:r>
      <w:r w:rsidR="005C2E2D" w:rsidRPr="00556539">
        <w:rPr>
          <w:rFonts w:ascii="Arial" w:hAnsi="Arial" w:cs="Arial"/>
        </w:rPr>
        <w:t xml:space="preserve">VEJ </w:t>
      </w:r>
      <w:proofErr w:type="spellStart"/>
      <w:r w:rsidR="005C2E2D" w:rsidRPr="00556539">
        <w:rPr>
          <w:rFonts w:ascii="Arial" w:hAnsi="Arial" w:cs="Arial"/>
        </w:rPr>
        <w:t>nr</w:t>
      </w:r>
      <w:proofErr w:type="spellEnd"/>
      <w:r w:rsidR="005C2E2D" w:rsidRPr="00556539">
        <w:rPr>
          <w:rFonts w:ascii="Arial" w:hAnsi="Arial" w:cs="Arial"/>
        </w:rPr>
        <w:t xml:space="preserve"> 1 af 03/01/2011. </w:t>
      </w:r>
      <w:hyperlink r:id="rId15" w:history="1">
        <w:r w:rsidR="005C2E2D" w:rsidRPr="00556539">
          <w:rPr>
            <w:rStyle w:val="Hyperlink"/>
            <w:rFonts w:ascii="Arial" w:hAnsi="Arial" w:cs="Arial"/>
          </w:rPr>
          <w:t>https://www.retsinformation.dk/pdfPrint.aspx?id=134522</w:t>
        </w:r>
      </w:hyperlink>
    </w:p>
    <w:p w14:paraId="4E2E104C" w14:textId="77777777" w:rsidR="00C34B7B" w:rsidRPr="00556539" w:rsidRDefault="00C34B7B" w:rsidP="00C34B7B">
      <w:pPr>
        <w:numPr>
          <w:ilvl w:val="0"/>
          <w:numId w:val="3"/>
        </w:numPr>
        <w:tabs>
          <w:tab w:val="clear" w:pos="360"/>
          <w:tab w:val="num" w:pos="720"/>
        </w:tabs>
        <w:rPr>
          <w:rFonts w:ascii="Arial" w:hAnsi="Arial" w:cs="Arial"/>
        </w:rPr>
      </w:pPr>
      <w:r w:rsidRPr="00556539">
        <w:rPr>
          <w:rFonts w:ascii="Arial" w:hAnsi="Arial" w:cs="Arial"/>
        </w:rPr>
        <w:t xml:space="preserve">Bekendtgørelse om indberetning af bivirkninger </w:t>
      </w:r>
      <w:r w:rsidR="005C2E2D" w:rsidRPr="00556539">
        <w:rPr>
          <w:rFonts w:ascii="Arial" w:hAnsi="Arial" w:cs="Arial"/>
        </w:rPr>
        <w:t>ved</w:t>
      </w:r>
      <w:r w:rsidRPr="00556539">
        <w:rPr>
          <w:rFonts w:ascii="Arial" w:hAnsi="Arial" w:cs="Arial"/>
        </w:rPr>
        <w:t xml:space="preserve"> lægemidler m.m. </w:t>
      </w:r>
      <w:r w:rsidR="005C2E2D" w:rsidRPr="00556539">
        <w:rPr>
          <w:rFonts w:ascii="Arial" w:hAnsi="Arial" w:cs="Arial"/>
        </w:rPr>
        <w:t xml:space="preserve">BEK </w:t>
      </w:r>
      <w:proofErr w:type="spellStart"/>
      <w:r w:rsidR="005C2E2D" w:rsidRPr="00556539">
        <w:rPr>
          <w:rFonts w:ascii="Arial" w:hAnsi="Arial" w:cs="Arial"/>
        </w:rPr>
        <w:t>nr</w:t>
      </w:r>
      <w:proofErr w:type="spellEnd"/>
      <w:r w:rsidR="005C2E2D" w:rsidRPr="00556539">
        <w:rPr>
          <w:rFonts w:ascii="Arial" w:hAnsi="Arial" w:cs="Arial"/>
        </w:rPr>
        <w:t xml:space="preserve"> 15/12/2015. </w:t>
      </w:r>
      <w:hyperlink r:id="rId16" w:history="1">
        <w:r w:rsidR="005C2E2D" w:rsidRPr="00556539">
          <w:rPr>
            <w:rStyle w:val="Hyperlink"/>
            <w:rFonts w:ascii="Arial" w:hAnsi="Arial" w:cs="Arial"/>
          </w:rPr>
          <w:t>https://www.retsinformation.dk/pdfPrint.aspx?id=176092</w:t>
        </w:r>
      </w:hyperlink>
    </w:p>
    <w:p w14:paraId="58340AD3" w14:textId="77777777" w:rsidR="0041602B" w:rsidRPr="00556539" w:rsidRDefault="0041602B" w:rsidP="0041602B">
      <w:pPr>
        <w:numPr>
          <w:ilvl w:val="0"/>
          <w:numId w:val="3"/>
        </w:numPr>
        <w:tabs>
          <w:tab w:val="clear" w:pos="360"/>
          <w:tab w:val="num" w:pos="720"/>
        </w:tabs>
        <w:rPr>
          <w:rFonts w:ascii="Arial" w:hAnsi="Arial" w:cs="Arial"/>
        </w:rPr>
      </w:pPr>
      <w:r w:rsidRPr="00556539">
        <w:rPr>
          <w:rFonts w:ascii="Arial" w:hAnsi="Arial" w:cs="Arial"/>
        </w:rPr>
        <w:t xml:space="preserve">Bekendtgørelse om ændring af bekendtgørelse om indberetning af bivirkninger ved lægemidler m.m. BEK </w:t>
      </w:r>
      <w:proofErr w:type="spellStart"/>
      <w:r w:rsidRPr="00556539">
        <w:rPr>
          <w:rFonts w:ascii="Arial" w:hAnsi="Arial" w:cs="Arial"/>
        </w:rPr>
        <w:t>nr</w:t>
      </w:r>
      <w:proofErr w:type="spellEnd"/>
      <w:r w:rsidRPr="00556539">
        <w:rPr>
          <w:rFonts w:ascii="Arial" w:hAnsi="Arial" w:cs="Arial"/>
        </w:rPr>
        <w:t xml:space="preserve"> 1771 af 18/12/2018 </w:t>
      </w:r>
      <w:hyperlink r:id="rId17" w:history="1">
        <w:r w:rsidRPr="00556539">
          <w:rPr>
            <w:rStyle w:val="Hyperlink"/>
            <w:rFonts w:ascii="Arial" w:hAnsi="Arial" w:cs="Arial"/>
          </w:rPr>
          <w:t>https://www.retsinformation.dk/pdfPrint.aspx?id=205928</w:t>
        </w:r>
      </w:hyperlink>
      <w:r w:rsidRPr="00556539">
        <w:rPr>
          <w:rFonts w:ascii="Arial" w:hAnsi="Arial" w:cs="Arial"/>
        </w:rPr>
        <w:t xml:space="preserve"> </w:t>
      </w:r>
    </w:p>
    <w:p w14:paraId="5F902AF9" w14:textId="629A0FFA" w:rsidR="005C2E2D" w:rsidRDefault="005C2E2D" w:rsidP="005C2E2D">
      <w:pPr>
        <w:pStyle w:val="Listeafsnit"/>
        <w:numPr>
          <w:ilvl w:val="0"/>
          <w:numId w:val="3"/>
        </w:numPr>
        <w:spacing w:line="256" w:lineRule="auto"/>
        <w:rPr>
          <w:rFonts w:ascii="Arial" w:hAnsi="Arial" w:cs="Arial"/>
        </w:rPr>
      </w:pPr>
      <w:r w:rsidRPr="00556539">
        <w:rPr>
          <w:rFonts w:ascii="Arial" w:hAnsi="Arial" w:cs="Arial"/>
        </w:rPr>
        <w:lastRenderedPageBreak/>
        <w:t xml:space="preserve">Meld en bivirkning ved medicin til mennesker – for sundhedsprofessionelle. Opdateret 24. maj 2018. </w:t>
      </w:r>
      <w:hyperlink r:id="rId18" w:history="1">
        <w:r w:rsidRPr="00556539">
          <w:rPr>
            <w:rStyle w:val="Hyperlink"/>
            <w:rFonts w:ascii="Arial" w:hAnsi="Arial" w:cs="Arial"/>
          </w:rPr>
          <w:t>https://laegemiddelstyrelsen.dk/da/bivirkninger/bivirkninger-ved-medicin/meld-en-bivirkning/mennesker/meld-en-bivirkning-ved-medicin-til-mennesker-for-sundhedsprofessionelle-e-blanket/</w:t>
        </w:r>
      </w:hyperlink>
      <w:r w:rsidRPr="00556539">
        <w:rPr>
          <w:rFonts w:ascii="Arial" w:hAnsi="Arial" w:cs="Arial"/>
        </w:rPr>
        <w:t xml:space="preserve"> </w:t>
      </w:r>
    </w:p>
    <w:p w14:paraId="4B63E288" w14:textId="77777777" w:rsidR="00556539" w:rsidRPr="00556539" w:rsidRDefault="00556539" w:rsidP="00556539">
      <w:pPr>
        <w:pStyle w:val="Listeafsnit"/>
        <w:spacing w:line="256" w:lineRule="auto"/>
        <w:ind w:left="360"/>
        <w:rPr>
          <w:rFonts w:ascii="Arial" w:hAnsi="Arial" w:cs="Arial"/>
        </w:rPr>
      </w:pPr>
    </w:p>
    <w:p w14:paraId="38CD88FF" w14:textId="349DF393" w:rsidR="005C2E2D" w:rsidRPr="00556539" w:rsidRDefault="005C2E2D" w:rsidP="00556539">
      <w:pPr>
        <w:pStyle w:val="Overskrift3"/>
      </w:pPr>
      <w:r w:rsidRPr="00556539">
        <w:t>Optagelse af medicinanamnese</w:t>
      </w:r>
      <w:r w:rsidR="00A522A4" w:rsidRPr="00556539">
        <w:t xml:space="preserve"> </w:t>
      </w:r>
    </w:p>
    <w:p w14:paraId="70065C84" w14:textId="0B394ECA" w:rsidR="00556539" w:rsidRPr="00A06949" w:rsidRDefault="00BF177A" w:rsidP="00A06949">
      <w:pPr>
        <w:numPr>
          <w:ilvl w:val="0"/>
          <w:numId w:val="3"/>
        </w:numPr>
        <w:tabs>
          <w:tab w:val="clear" w:pos="360"/>
        </w:tabs>
        <w:rPr>
          <w:rFonts w:ascii="Arial" w:hAnsi="Arial" w:cs="Arial"/>
        </w:rPr>
      </w:pPr>
      <w:r w:rsidRPr="00556539">
        <w:rPr>
          <w:rFonts w:ascii="Arial" w:hAnsi="Arial" w:cs="Arial"/>
        </w:rPr>
        <w:t>Optagelse</w:t>
      </w:r>
      <w:r w:rsidR="005C2E2D" w:rsidRPr="00556539">
        <w:rPr>
          <w:rFonts w:ascii="Arial" w:hAnsi="Arial" w:cs="Arial"/>
        </w:rPr>
        <w:t xml:space="preserve"> af medicin</w:t>
      </w:r>
      <w:r w:rsidR="0049719C" w:rsidRPr="00556539">
        <w:rPr>
          <w:rFonts w:ascii="Arial" w:hAnsi="Arial" w:cs="Arial"/>
        </w:rPr>
        <w:t xml:space="preserve">- og relevant </w:t>
      </w:r>
      <w:r w:rsidR="005C2E2D" w:rsidRPr="00556539">
        <w:rPr>
          <w:rFonts w:ascii="Arial" w:hAnsi="Arial" w:cs="Arial"/>
        </w:rPr>
        <w:t xml:space="preserve">anamnese </w:t>
      </w:r>
      <w:r w:rsidR="0049719C" w:rsidRPr="00556539">
        <w:rPr>
          <w:rFonts w:ascii="Arial" w:hAnsi="Arial" w:cs="Arial"/>
        </w:rPr>
        <w:t xml:space="preserve">forud for ordination. Institut for Sundhedstjenesteforskning, Klinisk Farmakologi og Farmaci, Syddansk Universitet. </w:t>
      </w:r>
      <w:r w:rsidR="00026EA0" w:rsidRPr="00556539">
        <w:rPr>
          <w:rFonts w:ascii="Arial" w:hAnsi="Arial" w:cs="Arial"/>
        </w:rPr>
        <w:t>(</w:t>
      </w:r>
      <w:r w:rsidR="007902BD" w:rsidRPr="00556539">
        <w:rPr>
          <w:rFonts w:ascii="Arial" w:hAnsi="Arial" w:cs="Arial"/>
        </w:rPr>
        <w:t>udleveres</w:t>
      </w:r>
      <w:r w:rsidR="00C84EF5" w:rsidRPr="00556539">
        <w:rPr>
          <w:rFonts w:ascii="Arial" w:hAnsi="Arial" w:cs="Arial"/>
        </w:rPr>
        <w:t xml:space="preserve"> i forbindelse med kursusdag 1</w:t>
      </w:r>
      <w:r w:rsidR="00026EA0" w:rsidRPr="00556539">
        <w:rPr>
          <w:rFonts w:ascii="Arial" w:hAnsi="Arial" w:cs="Arial"/>
        </w:rPr>
        <w:t>)</w:t>
      </w:r>
      <w:r w:rsidR="00A06949">
        <w:rPr>
          <w:rFonts w:ascii="Arial" w:hAnsi="Arial" w:cs="Arial"/>
        </w:rPr>
        <w:br/>
      </w:r>
    </w:p>
    <w:p w14:paraId="5C1F1CAB" w14:textId="77777777" w:rsidR="005C2E2D" w:rsidRPr="00556539" w:rsidRDefault="005C2E2D" w:rsidP="00556539">
      <w:pPr>
        <w:pStyle w:val="Overskrift3"/>
      </w:pPr>
      <w:r w:rsidRPr="00556539">
        <w:t>Kommunikation</w:t>
      </w:r>
    </w:p>
    <w:p w14:paraId="309BB6BF" w14:textId="77777777" w:rsidR="00487DAD" w:rsidRPr="00556539" w:rsidRDefault="005C2E2D" w:rsidP="00556539">
      <w:pPr>
        <w:numPr>
          <w:ilvl w:val="0"/>
          <w:numId w:val="2"/>
        </w:numPr>
        <w:tabs>
          <w:tab w:val="clear" w:pos="720"/>
          <w:tab w:val="num" w:pos="360"/>
        </w:tabs>
        <w:ind w:left="360"/>
        <w:rPr>
          <w:rFonts w:ascii="Arial" w:hAnsi="Arial" w:cs="Arial"/>
          <w:i/>
        </w:rPr>
      </w:pPr>
      <w:r w:rsidRPr="00556539">
        <w:rPr>
          <w:rFonts w:ascii="Arial" w:hAnsi="Arial" w:cs="Arial"/>
        </w:rPr>
        <w:t xml:space="preserve">Tal med patienten. Folder fra Region Midt. </w:t>
      </w:r>
      <w:hyperlink r:id="rId19" w:history="1">
        <w:r w:rsidRPr="00556539">
          <w:rPr>
            <w:rStyle w:val="Hyperlink"/>
            <w:rFonts w:ascii="Arial" w:hAnsi="Arial" w:cs="Arial"/>
          </w:rPr>
          <w:t>http://www.patientkommunikation.dk/siteassets/medier-til-varktojer---patientkommunikation/folder-tal-med-patienten/w_talmedpatienten_0000000194.pdf</w:t>
        </w:r>
      </w:hyperlink>
    </w:p>
    <w:p w14:paraId="1CFAA6B3" w14:textId="6787D0EB" w:rsidR="00556539" w:rsidRPr="00A06949" w:rsidRDefault="00487DAD" w:rsidP="00A06949">
      <w:pPr>
        <w:pStyle w:val="Listeafsnit"/>
        <w:numPr>
          <w:ilvl w:val="0"/>
          <w:numId w:val="3"/>
        </w:numPr>
        <w:spacing w:line="256" w:lineRule="auto"/>
        <w:rPr>
          <w:rFonts w:ascii="Arial" w:hAnsi="Arial" w:cs="Arial"/>
          <w:i/>
        </w:rPr>
      </w:pPr>
      <w:r w:rsidRPr="00556539">
        <w:rPr>
          <w:rFonts w:ascii="Arial" w:hAnsi="Arial" w:cs="Arial"/>
        </w:rPr>
        <w:t xml:space="preserve">Håndbog i sikker mundtlig kommunikation. Dansk Selskab for Patientsikkerhed </w:t>
      </w:r>
      <w:hyperlink r:id="rId20" w:history="1">
        <w:r w:rsidRPr="00556539">
          <w:rPr>
            <w:rStyle w:val="Hyperlink"/>
            <w:rFonts w:ascii="Arial" w:hAnsi="Arial" w:cs="Arial"/>
          </w:rPr>
          <w:t>https://www.regionsjaelland.dk/Sundhed/for-fagfolk/efteruddannelse/CUK/Documents/akut/haandbog_i_sikker_mundtlig_kommunikation.ashx.pdf</w:t>
        </w:r>
      </w:hyperlink>
      <w:r w:rsidRPr="00556539">
        <w:rPr>
          <w:rFonts w:ascii="Arial" w:hAnsi="Arial" w:cs="Arial"/>
        </w:rPr>
        <w:t xml:space="preserve"> </w:t>
      </w:r>
      <w:r w:rsidR="005C2E2D" w:rsidRPr="00556539">
        <w:rPr>
          <w:rFonts w:ascii="Arial" w:hAnsi="Arial" w:cs="Arial"/>
        </w:rPr>
        <w:t>?</w:t>
      </w:r>
      <w:r w:rsidR="00A06949">
        <w:rPr>
          <w:rFonts w:ascii="Arial" w:hAnsi="Arial" w:cs="Arial"/>
        </w:rPr>
        <w:br/>
      </w:r>
    </w:p>
    <w:p w14:paraId="1767D6D4" w14:textId="77777777" w:rsidR="00C34B7B" w:rsidRPr="00556539" w:rsidRDefault="001C2FF4" w:rsidP="00556539">
      <w:pPr>
        <w:pStyle w:val="Overskrift3"/>
      </w:pPr>
      <w:r w:rsidRPr="00556539">
        <w:t>Dosisdispensering</w:t>
      </w:r>
    </w:p>
    <w:p w14:paraId="7380965C" w14:textId="77777777" w:rsidR="00556539" w:rsidRDefault="00EA579C" w:rsidP="00556539">
      <w:pPr>
        <w:numPr>
          <w:ilvl w:val="0"/>
          <w:numId w:val="2"/>
        </w:numPr>
        <w:tabs>
          <w:tab w:val="clear" w:pos="720"/>
          <w:tab w:val="num" w:pos="360"/>
        </w:tabs>
        <w:ind w:left="360"/>
        <w:rPr>
          <w:rFonts w:ascii="Arial" w:hAnsi="Arial" w:cs="Arial"/>
        </w:rPr>
      </w:pPr>
      <w:r w:rsidRPr="00556539">
        <w:rPr>
          <w:rFonts w:ascii="Arial" w:hAnsi="Arial" w:cs="Arial"/>
        </w:rPr>
        <w:t xml:space="preserve">Dosispakket medicin og patientsikkerhed. Pro.medicin.dk. </w:t>
      </w:r>
      <w:hyperlink r:id="rId21" w:history="1">
        <w:r w:rsidRPr="00556539">
          <w:rPr>
            <w:rStyle w:val="Hyperlink"/>
            <w:rFonts w:ascii="Arial" w:hAnsi="Arial" w:cs="Arial"/>
          </w:rPr>
          <w:t>https://pro.medicin.dk/Specielleemner/Emner/318717#</w:t>
        </w:r>
      </w:hyperlink>
      <w:r w:rsidRPr="00556539">
        <w:rPr>
          <w:rFonts w:ascii="Arial" w:hAnsi="Arial" w:cs="Arial"/>
        </w:rPr>
        <w:t xml:space="preserve"> </w:t>
      </w:r>
    </w:p>
    <w:p w14:paraId="6DA3035C" w14:textId="39B518AE" w:rsidR="00EA579C" w:rsidRPr="00556539" w:rsidRDefault="00026EA0" w:rsidP="0093131F">
      <w:pPr>
        <w:pStyle w:val="Listeafsnit"/>
        <w:numPr>
          <w:ilvl w:val="0"/>
          <w:numId w:val="7"/>
        </w:numPr>
        <w:spacing w:after="120"/>
        <w:rPr>
          <w:rFonts w:ascii="Arial" w:hAnsi="Arial" w:cs="Arial"/>
        </w:rPr>
      </w:pPr>
      <w:r w:rsidRPr="00556539">
        <w:rPr>
          <w:rFonts w:ascii="Arial" w:hAnsi="Arial" w:cs="Arial"/>
        </w:rPr>
        <w:t xml:space="preserve">Lægemiddelstyrelsens notat om dosisdispensering af 28. marts 2011. </w:t>
      </w:r>
      <w:hyperlink r:id="rId22" w:history="1">
        <w:r w:rsidRPr="00556539">
          <w:rPr>
            <w:rStyle w:val="Hyperlink"/>
            <w:rFonts w:ascii="Arial" w:hAnsi="Arial" w:cs="Arial"/>
          </w:rPr>
          <w:t>https://laegemiddelstyrelsen.dk/da/apoteker/apoteker/~/media/F1C2137A74E04376A1623546D18B7F39.ashx</w:t>
        </w:r>
      </w:hyperlink>
      <w:r w:rsidR="00A44286" w:rsidRPr="00556539">
        <w:rPr>
          <w:rFonts w:ascii="Arial" w:hAnsi="Arial" w:cs="Arial"/>
        </w:rPr>
        <w:t xml:space="preserve"> </w:t>
      </w:r>
    </w:p>
    <w:p w14:paraId="3E982412" w14:textId="77777777" w:rsidR="00595682" w:rsidRPr="00556539" w:rsidRDefault="00595682">
      <w:pPr>
        <w:rPr>
          <w:rFonts w:ascii="Arial" w:eastAsiaTheme="majorEastAsia" w:hAnsi="Arial" w:cs="Arial"/>
          <w:b/>
          <w:szCs w:val="26"/>
        </w:rPr>
      </w:pPr>
      <w:bookmarkStart w:id="1" w:name="_GoBack"/>
      <w:bookmarkEnd w:id="1"/>
      <w:r w:rsidRPr="00556539">
        <w:rPr>
          <w:rFonts w:ascii="Arial" w:hAnsi="Arial" w:cs="Arial"/>
        </w:rPr>
        <w:br w:type="page"/>
      </w:r>
    </w:p>
    <w:p w14:paraId="7AD2938C" w14:textId="5F2F26AB" w:rsidR="00A522A4" w:rsidRPr="00556539" w:rsidRDefault="00A522A4" w:rsidP="00556539">
      <w:pPr>
        <w:pStyle w:val="Overskrift2"/>
      </w:pPr>
      <w:r w:rsidRPr="00556539">
        <w:lastRenderedPageBreak/>
        <w:t xml:space="preserve">Supplerende </w:t>
      </w:r>
      <w:r w:rsidR="00EB5951" w:rsidRPr="00556539">
        <w:t>materiale</w:t>
      </w:r>
    </w:p>
    <w:p w14:paraId="16ED4E63" w14:textId="1A6EEB8D" w:rsidR="00A522A4" w:rsidRPr="00556539" w:rsidRDefault="00A522A4" w:rsidP="00A522A4">
      <w:pPr>
        <w:rPr>
          <w:rFonts w:ascii="Arial" w:hAnsi="Arial" w:cs="Arial"/>
        </w:rPr>
      </w:pPr>
      <w:r w:rsidRPr="00556539">
        <w:rPr>
          <w:rFonts w:ascii="Arial" w:hAnsi="Arial" w:cs="Arial"/>
        </w:rPr>
        <w:t xml:space="preserve">Nedenstående er supplerende </w:t>
      </w:r>
      <w:r w:rsidR="00EB5951" w:rsidRPr="00556539">
        <w:rPr>
          <w:rFonts w:ascii="Arial" w:hAnsi="Arial" w:cs="Arial"/>
        </w:rPr>
        <w:t xml:space="preserve">materiale, som du kan anvende efter behov og interesse. Det kan være i forbindelse med at bruge FMK, med kommunikation og dosisdispensering. Der er også en række materialer, som du kan bruge til efter behov at opdatere din viden om behandling med lægemidlerne på </w:t>
      </w:r>
      <w:r w:rsidR="00923499" w:rsidRPr="00556539">
        <w:rPr>
          <w:rFonts w:ascii="Arial" w:hAnsi="Arial" w:cs="Arial"/>
        </w:rPr>
        <w:t>L</w:t>
      </w:r>
      <w:r w:rsidR="00EB5951" w:rsidRPr="00556539">
        <w:rPr>
          <w:rFonts w:ascii="Arial" w:hAnsi="Arial" w:cs="Arial"/>
        </w:rPr>
        <w:t>isten over lægemidler, der må genordineres.</w:t>
      </w:r>
    </w:p>
    <w:p w14:paraId="21C4C6DA" w14:textId="71548C09" w:rsidR="00454EA1" w:rsidRPr="00556539" w:rsidRDefault="00454EA1" w:rsidP="00556539">
      <w:pPr>
        <w:pStyle w:val="Overskrift3"/>
      </w:pPr>
      <w:r w:rsidRPr="00556539">
        <w:t xml:space="preserve">Supplerende </w:t>
      </w:r>
      <w:r w:rsidR="00923499" w:rsidRPr="00556539">
        <w:t>materiale</w:t>
      </w:r>
      <w:r w:rsidRPr="00556539">
        <w:t xml:space="preserve"> </w:t>
      </w:r>
      <w:r w:rsidR="00752C6A" w:rsidRPr="00556539">
        <w:t>vedrørende opgaverne som behandlerfarmaceut</w:t>
      </w:r>
      <w:r w:rsidR="0049719C" w:rsidRPr="00556539">
        <w:t xml:space="preserve"> </w:t>
      </w:r>
    </w:p>
    <w:p w14:paraId="150D585D" w14:textId="77777777" w:rsidR="00454EA1" w:rsidRPr="00556539" w:rsidRDefault="00454EA1" w:rsidP="00454EA1">
      <w:pPr>
        <w:numPr>
          <w:ilvl w:val="0"/>
          <w:numId w:val="6"/>
        </w:numPr>
        <w:rPr>
          <w:rStyle w:val="Hyperlink"/>
          <w:rFonts w:ascii="Arial" w:hAnsi="Arial" w:cs="Arial"/>
          <w:color w:val="auto"/>
          <w:u w:val="none"/>
        </w:rPr>
      </w:pPr>
      <w:r w:rsidRPr="00556539">
        <w:rPr>
          <w:rFonts w:ascii="Arial" w:hAnsi="Arial" w:cs="Arial"/>
        </w:rPr>
        <w:t xml:space="preserve">Vejledninger til Fælles Medicinkort: </w:t>
      </w:r>
      <w:hyperlink r:id="rId23" w:history="1">
        <w:r w:rsidRPr="00556539">
          <w:rPr>
            <w:rStyle w:val="Hyperlink"/>
            <w:rFonts w:ascii="Arial" w:hAnsi="Arial" w:cs="Arial"/>
          </w:rPr>
          <w:t>https://www.medcom.dk/projekter/faelles-medicinkort-fmk/vejledninger</w:t>
        </w:r>
      </w:hyperlink>
    </w:p>
    <w:p w14:paraId="3C039FFB" w14:textId="77777777" w:rsidR="0090785D" w:rsidRPr="00556539" w:rsidRDefault="00454EA1" w:rsidP="00C34B7B">
      <w:pPr>
        <w:pStyle w:val="Listeafsnit"/>
        <w:numPr>
          <w:ilvl w:val="0"/>
          <w:numId w:val="6"/>
        </w:numPr>
        <w:spacing w:line="256" w:lineRule="auto"/>
        <w:rPr>
          <w:rStyle w:val="Hyperlink"/>
          <w:rFonts w:ascii="Arial" w:hAnsi="Arial" w:cs="Arial"/>
          <w:i/>
          <w:color w:val="auto"/>
          <w:u w:val="none"/>
        </w:rPr>
      </w:pPr>
      <w:r w:rsidRPr="00556539">
        <w:rPr>
          <w:rFonts w:ascii="Arial" w:hAnsi="Arial" w:cs="Arial"/>
        </w:rPr>
        <w:t xml:space="preserve">Håndbog i sikker mundtlig kommunikation. Tryg Patient </w:t>
      </w:r>
      <w:hyperlink r:id="rId24" w:history="1">
        <w:r w:rsidRPr="00556539">
          <w:rPr>
            <w:rStyle w:val="Hyperlink"/>
            <w:rFonts w:ascii="Arial" w:hAnsi="Arial" w:cs="Arial"/>
          </w:rPr>
          <w:t>http://arkiv.patientsikkerhed.dk/media/563221/sikker_mundtlig_kommunikation_baggrund__begreber.pdf</w:t>
        </w:r>
      </w:hyperlink>
    </w:p>
    <w:p w14:paraId="79B55F6E" w14:textId="78D6160E" w:rsidR="00A522A4" w:rsidRPr="00556539" w:rsidRDefault="00026EA0" w:rsidP="00A522A4">
      <w:pPr>
        <w:pStyle w:val="Listeafsnit"/>
        <w:numPr>
          <w:ilvl w:val="0"/>
          <w:numId w:val="6"/>
        </w:numPr>
        <w:spacing w:line="256" w:lineRule="auto"/>
        <w:rPr>
          <w:rFonts w:ascii="Arial" w:hAnsi="Arial" w:cs="Arial"/>
          <w:i/>
        </w:rPr>
      </w:pPr>
      <w:r w:rsidRPr="00556539">
        <w:rPr>
          <w:rFonts w:ascii="Arial" w:hAnsi="Arial" w:cs="Arial"/>
        </w:rPr>
        <w:t xml:space="preserve">Brug af dosisdispenserede lægemidler. Senest opdateret 27.03.2018. Sundhedsdatastyrelsen. </w:t>
      </w:r>
      <w:hyperlink r:id="rId25" w:history="1">
        <w:r w:rsidRPr="00556539">
          <w:rPr>
            <w:rStyle w:val="Hyperlink"/>
            <w:rFonts w:ascii="Arial" w:hAnsi="Arial" w:cs="Arial"/>
          </w:rPr>
          <w:t>https://sundhedsdatastyrelsen.dk/da/tal-og-analyser/analyser-og-rapporter/laegemidler/dosisdispenserede-laegemidler</w:t>
        </w:r>
      </w:hyperlink>
      <w:r w:rsidRPr="00556539">
        <w:rPr>
          <w:rFonts w:ascii="Arial" w:hAnsi="Arial" w:cs="Arial"/>
        </w:rPr>
        <w:t xml:space="preserve"> </w:t>
      </w:r>
      <w:r w:rsidR="00A06949">
        <w:rPr>
          <w:rFonts w:ascii="Arial" w:hAnsi="Arial" w:cs="Arial"/>
        </w:rPr>
        <w:br/>
      </w:r>
    </w:p>
    <w:p w14:paraId="09B707CB" w14:textId="2897ED3F" w:rsidR="00A522A4" w:rsidRPr="00556539" w:rsidRDefault="00752C6A" w:rsidP="00556539">
      <w:pPr>
        <w:pStyle w:val="Overskrift3"/>
      </w:pPr>
      <w:r w:rsidRPr="00556539">
        <w:t xml:space="preserve">Supplerende </w:t>
      </w:r>
      <w:r w:rsidR="00923499" w:rsidRPr="00556539">
        <w:t>materiale</w:t>
      </w:r>
      <w:r w:rsidRPr="00556539">
        <w:t xml:space="preserve"> vedrørende lægemidlerne på Listen over lægemidler, der må genordineres</w:t>
      </w:r>
    </w:p>
    <w:p w14:paraId="64291318" w14:textId="77777777" w:rsidR="00A522A4" w:rsidRPr="00556539" w:rsidRDefault="00752C6A" w:rsidP="00A522A4">
      <w:pPr>
        <w:spacing w:line="256" w:lineRule="auto"/>
        <w:rPr>
          <w:rFonts w:ascii="Arial" w:hAnsi="Arial" w:cs="Arial"/>
          <w:i/>
        </w:rPr>
      </w:pPr>
      <w:r w:rsidRPr="00556539">
        <w:rPr>
          <w:rFonts w:ascii="Arial" w:hAnsi="Arial" w:cs="Arial"/>
        </w:rPr>
        <w:t xml:space="preserve">Som udgangspunkt kan du læse de relevante afsnit om lægemidlerne </w:t>
      </w:r>
      <w:r w:rsidR="0049719C" w:rsidRPr="00556539">
        <w:rPr>
          <w:rFonts w:ascii="Arial" w:hAnsi="Arial" w:cs="Arial"/>
        </w:rPr>
        <w:t xml:space="preserve">på listen </w:t>
      </w:r>
      <w:r w:rsidRPr="00556539">
        <w:rPr>
          <w:rFonts w:ascii="Arial" w:hAnsi="Arial" w:cs="Arial"/>
        </w:rPr>
        <w:t>på pro.medicin.dk og på laegehaandbogen.dk.</w:t>
      </w:r>
    </w:p>
    <w:p w14:paraId="6E6C5D23" w14:textId="5A615C91" w:rsidR="00752C6A" w:rsidRPr="00556539" w:rsidRDefault="00752C6A" w:rsidP="00A522A4">
      <w:pPr>
        <w:spacing w:line="256" w:lineRule="auto"/>
        <w:rPr>
          <w:rFonts w:ascii="Arial" w:hAnsi="Arial" w:cs="Arial"/>
          <w:i/>
        </w:rPr>
      </w:pPr>
      <w:r w:rsidRPr="00556539">
        <w:rPr>
          <w:rFonts w:ascii="Arial" w:hAnsi="Arial" w:cs="Arial"/>
        </w:rPr>
        <w:t xml:space="preserve">Nedenfor har vi samlet relevante behandlingsguidelines </w:t>
      </w:r>
      <w:r w:rsidR="009630A3" w:rsidRPr="00556539">
        <w:rPr>
          <w:rFonts w:ascii="Arial" w:hAnsi="Arial" w:cs="Arial"/>
        </w:rPr>
        <w:t xml:space="preserve">og anden relevant litteratur </w:t>
      </w:r>
      <w:r w:rsidRPr="00556539">
        <w:rPr>
          <w:rFonts w:ascii="Arial" w:hAnsi="Arial" w:cs="Arial"/>
        </w:rPr>
        <w:t>i relation til listen. Der er ikke behandlingsguidelines for alle grupper.</w:t>
      </w:r>
    </w:p>
    <w:p w14:paraId="0FF438EB" w14:textId="77777777" w:rsidR="0020615A" w:rsidRPr="0020615A" w:rsidRDefault="00752C6A" w:rsidP="00C66476">
      <w:pPr>
        <w:pStyle w:val="Listeafsnit"/>
        <w:numPr>
          <w:ilvl w:val="0"/>
          <w:numId w:val="8"/>
        </w:numPr>
        <w:rPr>
          <w:rFonts w:ascii="Arial" w:hAnsi="Arial" w:cs="Arial"/>
        </w:rPr>
      </w:pPr>
      <w:proofErr w:type="spellStart"/>
      <w:r w:rsidRPr="0020615A">
        <w:rPr>
          <w:rFonts w:ascii="Arial" w:hAnsi="Arial" w:cs="Arial"/>
          <w:i/>
        </w:rPr>
        <w:t>Protonpumpehæmmere</w:t>
      </w:r>
      <w:proofErr w:type="spellEnd"/>
      <w:r w:rsidRPr="0020615A">
        <w:rPr>
          <w:rFonts w:ascii="Arial" w:hAnsi="Arial" w:cs="Arial"/>
          <w:i/>
        </w:rPr>
        <w:t xml:space="preserve"> ATC A02BC</w:t>
      </w:r>
    </w:p>
    <w:p w14:paraId="6DFB7570" w14:textId="0B460EF3" w:rsidR="0020615A" w:rsidRDefault="00752C6A" w:rsidP="0020615A">
      <w:pPr>
        <w:ind w:left="720"/>
        <w:rPr>
          <w:rFonts w:ascii="Arial" w:hAnsi="Arial" w:cs="Arial"/>
        </w:rPr>
      </w:pPr>
      <w:r w:rsidRPr="0020615A">
        <w:rPr>
          <w:rFonts w:ascii="Arial" w:hAnsi="Arial" w:cs="Arial"/>
        </w:rPr>
        <w:t xml:space="preserve">Behandling med </w:t>
      </w:r>
      <w:proofErr w:type="spellStart"/>
      <w:r w:rsidRPr="0020615A">
        <w:rPr>
          <w:rFonts w:ascii="Arial" w:hAnsi="Arial" w:cs="Arial"/>
        </w:rPr>
        <w:t>protonpumpehæmmere</w:t>
      </w:r>
      <w:proofErr w:type="spellEnd"/>
      <w:r w:rsidRPr="0020615A">
        <w:rPr>
          <w:rFonts w:ascii="Arial" w:hAnsi="Arial" w:cs="Arial"/>
        </w:rPr>
        <w:t xml:space="preserve"> – forbrugsmønstre, indikationer og behandlingsvarighed. Rationel </w:t>
      </w:r>
      <w:proofErr w:type="spellStart"/>
      <w:r w:rsidRPr="0020615A">
        <w:rPr>
          <w:rFonts w:ascii="Arial" w:hAnsi="Arial" w:cs="Arial"/>
        </w:rPr>
        <w:t>Farmakoterapi</w:t>
      </w:r>
      <w:proofErr w:type="spellEnd"/>
      <w:r w:rsidRPr="0020615A">
        <w:rPr>
          <w:rFonts w:ascii="Arial" w:hAnsi="Arial" w:cs="Arial"/>
        </w:rPr>
        <w:t xml:space="preserve"> </w:t>
      </w:r>
      <w:proofErr w:type="spellStart"/>
      <w:r w:rsidRPr="0020615A">
        <w:rPr>
          <w:rFonts w:ascii="Arial" w:hAnsi="Arial" w:cs="Arial"/>
        </w:rPr>
        <w:t>nr</w:t>
      </w:r>
      <w:proofErr w:type="spellEnd"/>
      <w:r w:rsidRPr="0020615A">
        <w:rPr>
          <w:rFonts w:ascii="Arial" w:hAnsi="Arial" w:cs="Arial"/>
        </w:rPr>
        <w:t xml:space="preserve"> 11, 2015. </w:t>
      </w:r>
      <w:hyperlink r:id="rId26" w:history="1">
        <w:r w:rsidRPr="0020615A">
          <w:rPr>
            <w:rStyle w:val="Hyperlink"/>
            <w:rFonts w:ascii="Arial" w:hAnsi="Arial" w:cs="Arial"/>
          </w:rPr>
          <w:t>https://www.sst.dk/da/rationel-farmakoterapi/maanedsbladet/2015/rationel-farmakoterapi-11,-2015/behandling-med-protonpumpehaemmere</w:t>
        </w:r>
      </w:hyperlink>
      <w:r w:rsidRPr="0020615A">
        <w:rPr>
          <w:rFonts w:ascii="Arial" w:hAnsi="Arial" w:cs="Arial"/>
        </w:rPr>
        <w:t xml:space="preserve"> </w:t>
      </w:r>
      <w:r w:rsidR="0020615A">
        <w:rPr>
          <w:rFonts w:ascii="Arial" w:hAnsi="Arial" w:cs="Arial"/>
        </w:rPr>
        <w:br/>
      </w:r>
    </w:p>
    <w:p w14:paraId="4D777ED3" w14:textId="205EC014" w:rsidR="00752C6A" w:rsidRPr="0020615A" w:rsidRDefault="00752C6A" w:rsidP="0020615A">
      <w:pPr>
        <w:pStyle w:val="Listeafsnit"/>
        <w:numPr>
          <w:ilvl w:val="0"/>
          <w:numId w:val="8"/>
        </w:numPr>
        <w:rPr>
          <w:rFonts w:ascii="Arial" w:hAnsi="Arial" w:cs="Arial"/>
          <w:i/>
          <w:lang w:val="en-US"/>
        </w:rPr>
      </w:pPr>
      <w:proofErr w:type="spellStart"/>
      <w:r w:rsidRPr="0020615A">
        <w:rPr>
          <w:rFonts w:ascii="Arial" w:hAnsi="Arial" w:cs="Arial"/>
          <w:i/>
          <w:lang w:val="en-US"/>
        </w:rPr>
        <w:t>Insuliner</w:t>
      </w:r>
      <w:proofErr w:type="spellEnd"/>
      <w:r w:rsidRPr="0020615A">
        <w:rPr>
          <w:rFonts w:ascii="Arial" w:hAnsi="Arial" w:cs="Arial"/>
          <w:i/>
          <w:lang w:val="en-US"/>
        </w:rPr>
        <w:t xml:space="preserve"> </w:t>
      </w:r>
      <w:proofErr w:type="spellStart"/>
      <w:r w:rsidRPr="0020615A">
        <w:rPr>
          <w:rFonts w:ascii="Arial" w:hAnsi="Arial" w:cs="Arial"/>
          <w:i/>
          <w:lang w:val="en-US"/>
        </w:rPr>
        <w:t>og</w:t>
      </w:r>
      <w:proofErr w:type="spellEnd"/>
      <w:r w:rsidRPr="0020615A">
        <w:rPr>
          <w:rFonts w:ascii="Arial" w:hAnsi="Arial" w:cs="Arial"/>
          <w:i/>
          <w:lang w:val="en-US"/>
        </w:rPr>
        <w:t xml:space="preserve"> </w:t>
      </w:r>
      <w:proofErr w:type="spellStart"/>
      <w:r w:rsidRPr="0020615A">
        <w:rPr>
          <w:rFonts w:ascii="Arial" w:hAnsi="Arial" w:cs="Arial"/>
          <w:i/>
          <w:lang w:val="en-US"/>
        </w:rPr>
        <w:t>analoger</w:t>
      </w:r>
      <w:proofErr w:type="spellEnd"/>
      <w:r w:rsidRPr="0020615A">
        <w:rPr>
          <w:rFonts w:ascii="Arial" w:hAnsi="Arial" w:cs="Arial"/>
          <w:i/>
          <w:lang w:val="en-US"/>
        </w:rPr>
        <w:t xml:space="preserve"> ATC A10AB, A10AC, A10AD</w:t>
      </w:r>
    </w:p>
    <w:p w14:paraId="7C493E57" w14:textId="77777777" w:rsidR="00752C6A" w:rsidRPr="00556539" w:rsidRDefault="00752C6A" w:rsidP="0020615A">
      <w:pPr>
        <w:ind w:left="720"/>
        <w:rPr>
          <w:rFonts w:ascii="Arial" w:hAnsi="Arial" w:cs="Arial"/>
        </w:rPr>
      </w:pPr>
      <w:r w:rsidRPr="00556539">
        <w:rPr>
          <w:rFonts w:ascii="Arial" w:hAnsi="Arial" w:cs="Arial"/>
        </w:rPr>
        <w:t xml:space="preserve">Farmakologisk behandling af type 2-diabetes, 2018 revision, Guidelines for type 2-diabetes, Dansk </w:t>
      </w:r>
      <w:proofErr w:type="spellStart"/>
      <w:r w:rsidRPr="00556539">
        <w:rPr>
          <w:rFonts w:ascii="Arial" w:hAnsi="Arial" w:cs="Arial"/>
        </w:rPr>
        <w:t>Endokrinologisk</w:t>
      </w:r>
      <w:proofErr w:type="spellEnd"/>
      <w:r w:rsidRPr="00556539">
        <w:rPr>
          <w:rFonts w:ascii="Arial" w:hAnsi="Arial" w:cs="Arial"/>
        </w:rPr>
        <w:t xml:space="preserve"> Selskab og Dansk Selskab for Almen Medicin, </w:t>
      </w:r>
      <w:hyperlink r:id="rId27" w:history="1">
        <w:r w:rsidRPr="00556539">
          <w:rPr>
            <w:rStyle w:val="Hyperlink"/>
            <w:rFonts w:ascii="Arial" w:hAnsi="Arial" w:cs="Arial"/>
          </w:rPr>
          <w:t>https://vejledninger.dsam.dk/media/files/4/guidelines-2018-final.pdf</w:t>
        </w:r>
      </w:hyperlink>
      <w:r w:rsidRPr="00556539">
        <w:rPr>
          <w:rFonts w:ascii="Arial" w:hAnsi="Arial" w:cs="Arial"/>
        </w:rPr>
        <w:t xml:space="preserve">  </w:t>
      </w:r>
    </w:p>
    <w:p w14:paraId="20E979B5" w14:textId="73618386" w:rsidR="00752C6A" w:rsidRPr="00556539" w:rsidRDefault="00752C6A" w:rsidP="0020615A">
      <w:pPr>
        <w:ind w:left="720"/>
        <w:rPr>
          <w:rFonts w:ascii="Arial" w:hAnsi="Arial" w:cs="Arial"/>
        </w:rPr>
      </w:pPr>
      <w:r w:rsidRPr="00556539">
        <w:rPr>
          <w:rFonts w:ascii="Arial" w:hAnsi="Arial" w:cs="Arial"/>
        </w:rPr>
        <w:t xml:space="preserve">Type 1 Diabetes Mellitus, 2016, Dansk </w:t>
      </w:r>
      <w:proofErr w:type="spellStart"/>
      <w:r w:rsidRPr="00556539">
        <w:rPr>
          <w:rFonts w:ascii="Arial" w:hAnsi="Arial" w:cs="Arial"/>
        </w:rPr>
        <w:t>Endokrinologisk</w:t>
      </w:r>
      <w:proofErr w:type="spellEnd"/>
      <w:r w:rsidRPr="00556539">
        <w:rPr>
          <w:rFonts w:ascii="Arial" w:hAnsi="Arial" w:cs="Arial"/>
        </w:rPr>
        <w:t xml:space="preserve"> Selskab, </w:t>
      </w:r>
      <w:hyperlink r:id="rId28" w:history="1">
        <w:r w:rsidRPr="00556539">
          <w:rPr>
            <w:rStyle w:val="Hyperlink"/>
            <w:rFonts w:ascii="Arial" w:hAnsi="Arial" w:cs="Arial"/>
          </w:rPr>
          <w:t>http://www.endocrinology.dk/index.php/1-diabetes-mellitus/3-type-1-diabetes-mellitus</w:t>
        </w:r>
      </w:hyperlink>
      <w:r w:rsidRPr="00556539">
        <w:rPr>
          <w:rFonts w:ascii="Arial" w:hAnsi="Arial" w:cs="Arial"/>
        </w:rPr>
        <w:t xml:space="preserve"> </w:t>
      </w:r>
      <w:r w:rsidR="0020615A">
        <w:rPr>
          <w:rFonts w:ascii="Arial" w:hAnsi="Arial" w:cs="Arial"/>
        </w:rPr>
        <w:br/>
      </w:r>
    </w:p>
    <w:p w14:paraId="37EED006" w14:textId="77777777" w:rsidR="00752C6A" w:rsidRPr="0020615A" w:rsidRDefault="00752C6A" w:rsidP="0020615A">
      <w:pPr>
        <w:pStyle w:val="Listeafsnit"/>
        <w:numPr>
          <w:ilvl w:val="0"/>
          <w:numId w:val="8"/>
        </w:numPr>
        <w:rPr>
          <w:rFonts w:ascii="Arial" w:hAnsi="Arial" w:cs="Arial"/>
          <w:i/>
        </w:rPr>
      </w:pPr>
      <w:r w:rsidRPr="0020615A">
        <w:rPr>
          <w:rFonts w:ascii="Arial" w:hAnsi="Arial" w:cs="Arial"/>
          <w:i/>
        </w:rPr>
        <w:t>Antihypertension ATC C03AA, C03AB, C03DA, C07AA, C07AB, C07AG, C07B, C07C, C08, C09AA, C09BA, C09BB, C09CA, C09DA</w:t>
      </w:r>
    </w:p>
    <w:p w14:paraId="5FAF43A7" w14:textId="77777777" w:rsidR="00752C6A" w:rsidRPr="00556539" w:rsidRDefault="00752C6A" w:rsidP="0020615A">
      <w:pPr>
        <w:ind w:left="720"/>
        <w:rPr>
          <w:rFonts w:ascii="Arial" w:hAnsi="Arial" w:cs="Arial"/>
        </w:rPr>
      </w:pPr>
      <w:proofErr w:type="spellStart"/>
      <w:r w:rsidRPr="00556539">
        <w:rPr>
          <w:rFonts w:ascii="Arial" w:hAnsi="Arial" w:cs="Arial"/>
        </w:rPr>
        <w:t>Hypertensio</w:t>
      </w:r>
      <w:proofErr w:type="spellEnd"/>
      <w:r w:rsidRPr="00556539">
        <w:rPr>
          <w:rFonts w:ascii="Arial" w:hAnsi="Arial" w:cs="Arial"/>
        </w:rPr>
        <w:t xml:space="preserve"> </w:t>
      </w:r>
      <w:proofErr w:type="spellStart"/>
      <w:r w:rsidRPr="00556539">
        <w:rPr>
          <w:rFonts w:ascii="Arial" w:hAnsi="Arial" w:cs="Arial"/>
        </w:rPr>
        <w:t>Arterialis</w:t>
      </w:r>
      <w:proofErr w:type="spellEnd"/>
      <w:r w:rsidRPr="00556539">
        <w:rPr>
          <w:rFonts w:ascii="Arial" w:hAnsi="Arial" w:cs="Arial"/>
        </w:rPr>
        <w:t xml:space="preserve">, Dansk Hypertensionsselskab, 2015, </w:t>
      </w:r>
      <w:hyperlink r:id="rId29" w:history="1">
        <w:r w:rsidRPr="00556539">
          <w:rPr>
            <w:rStyle w:val="Hyperlink"/>
            <w:rFonts w:ascii="Arial" w:hAnsi="Arial" w:cs="Arial"/>
          </w:rPr>
          <w:t>http://www.dahs.dk/fileadmin/user_upload/2013_opdateringer/opdateringer_2014/opdateringer_2015/behandlingsvejledning_2015_hoering.pdf</w:t>
        </w:r>
      </w:hyperlink>
      <w:r w:rsidRPr="00556539">
        <w:rPr>
          <w:rFonts w:ascii="Arial" w:hAnsi="Arial" w:cs="Arial"/>
        </w:rPr>
        <w:t xml:space="preserve"> </w:t>
      </w:r>
    </w:p>
    <w:p w14:paraId="5DC48DB8" w14:textId="77777777" w:rsidR="0020615A" w:rsidRDefault="00752C6A" w:rsidP="0020615A">
      <w:pPr>
        <w:ind w:left="720"/>
        <w:rPr>
          <w:rFonts w:ascii="Arial" w:hAnsi="Arial" w:cs="Arial"/>
        </w:rPr>
      </w:pPr>
      <w:r w:rsidRPr="00556539">
        <w:rPr>
          <w:rFonts w:ascii="Arial" w:hAnsi="Arial" w:cs="Arial"/>
        </w:rPr>
        <w:t xml:space="preserve">Hypertension </w:t>
      </w:r>
      <w:proofErr w:type="spellStart"/>
      <w:r w:rsidRPr="00556539">
        <w:rPr>
          <w:rFonts w:ascii="Arial" w:hAnsi="Arial" w:cs="Arial"/>
        </w:rPr>
        <w:t>arterialis</w:t>
      </w:r>
      <w:proofErr w:type="spellEnd"/>
      <w:r w:rsidRPr="00556539">
        <w:rPr>
          <w:rFonts w:ascii="Arial" w:hAnsi="Arial" w:cs="Arial"/>
        </w:rPr>
        <w:t xml:space="preserve">, NBV Dansk </w:t>
      </w:r>
      <w:proofErr w:type="spellStart"/>
      <w:r w:rsidRPr="00556539">
        <w:rPr>
          <w:rFonts w:ascii="Arial" w:hAnsi="Arial" w:cs="Arial"/>
        </w:rPr>
        <w:t>Cardiologisk</w:t>
      </w:r>
      <w:proofErr w:type="spellEnd"/>
      <w:r w:rsidRPr="00556539">
        <w:rPr>
          <w:rFonts w:ascii="Arial" w:hAnsi="Arial" w:cs="Arial"/>
        </w:rPr>
        <w:t xml:space="preserve"> Selskab, kap. 27, </w:t>
      </w:r>
      <w:hyperlink r:id="rId30" w:history="1">
        <w:r w:rsidRPr="00556539">
          <w:rPr>
            <w:rStyle w:val="Hyperlink"/>
            <w:rFonts w:ascii="Arial" w:hAnsi="Arial" w:cs="Arial"/>
          </w:rPr>
          <w:t>https://www.nbv.cardio.dk/hypertension</w:t>
        </w:r>
      </w:hyperlink>
      <w:r w:rsidR="0020615A">
        <w:rPr>
          <w:rStyle w:val="Hyperlink"/>
          <w:rFonts w:ascii="Arial" w:hAnsi="Arial" w:cs="Arial"/>
        </w:rPr>
        <w:br/>
      </w:r>
    </w:p>
    <w:p w14:paraId="1DE6D1D8" w14:textId="7CEE51C9" w:rsidR="00752C6A" w:rsidRPr="0020615A" w:rsidRDefault="00752C6A" w:rsidP="0020615A">
      <w:pPr>
        <w:pStyle w:val="Listeafsnit"/>
        <w:numPr>
          <w:ilvl w:val="0"/>
          <w:numId w:val="8"/>
        </w:numPr>
        <w:rPr>
          <w:rFonts w:ascii="Arial" w:hAnsi="Arial" w:cs="Arial"/>
          <w:i/>
        </w:rPr>
      </w:pPr>
      <w:proofErr w:type="spellStart"/>
      <w:r w:rsidRPr="0020615A">
        <w:rPr>
          <w:rFonts w:ascii="Arial" w:hAnsi="Arial" w:cs="Arial"/>
          <w:i/>
        </w:rPr>
        <w:t>Statiner</w:t>
      </w:r>
      <w:proofErr w:type="spellEnd"/>
      <w:r w:rsidRPr="0020615A">
        <w:rPr>
          <w:rFonts w:ascii="Arial" w:hAnsi="Arial" w:cs="Arial"/>
          <w:i/>
        </w:rPr>
        <w:t xml:space="preserve"> ATC C10AA</w:t>
      </w:r>
    </w:p>
    <w:p w14:paraId="3B0D023E" w14:textId="48191138" w:rsidR="00752C6A" w:rsidRDefault="00752C6A" w:rsidP="0020615A">
      <w:pPr>
        <w:ind w:left="720"/>
        <w:rPr>
          <w:rFonts w:ascii="Arial" w:hAnsi="Arial" w:cs="Arial"/>
        </w:rPr>
      </w:pPr>
      <w:proofErr w:type="spellStart"/>
      <w:r w:rsidRPr="00556539">
        <w:rPr>
          <w:rFonts w:ascii="Arial" w:hAnsi="Arial" w:cs="Arial"/>
        </w:rPr>
        <w:t>Dyslipidæmi</w:t>
      </w:r>
      <w:proofErr w:type="spellEnd"/>
      <w:r w:rsidRPr="00556539">
        <w:rPr>
          <w:rFonts w:ascii="Arial" w:hAnsi="Arial" w:cs="Arial"/>
        </w:rPr>
        <w:t xml:space="preserve">, NBV, Dansk </w:t>
      </w:r>
      <w:proofErr w:type="spellStart"/>
      <w:r w:rsidRPr="00556539">
        <w:rPr>
          <w:rFonts w:ascii="Arial" w:hAnsi="Arial" w:cs="Arial"/>
        </w:rPr>
        <w:t>Cardiologisk</w:t>
      </w:r>
      <w:proofErr w:type="spellEnd"/>
      <w:r w:rsidRPr="00556539">
        <w:rPr>
          <w:rFonts w:ascii="Arial" w:hAnsi="Arial" w:cs="Arial"/>
        </w:rPr>
        <w:t xml:space="preserve"> Selskab, kap. 28, </w:t>
      </w:r>
      <w:hyperlink r:id="rId31" w:history="1">
        <w:r w:rsidRPr="00556539">
          <w:rPr>
            <w:rStyle w:val="Hyperlink"/>
            <w:rFonts w:ascii="Arial" w:hAnsi="Arial" w:cs="Arial"/>
          </w:rPr>
          <w:t>https://www.nbv.cardio.dk/dyslipidaemi</w:t>
        </w:r>
      </w:hyperlink>
      <w:r w:rsidRPr="00556539">
        <w:rPr>
          <w:rFonts w:ascii="Arial" w:hAnsi="Arial" w:cs="Arial"/>
        </w:rPr>
        <w:t xml:space="preserve"> </w:t>
      </w:r>
      <w:r w:rsidR="0020615A">
        <w:rPr>
          <w:rFonts w:ascii="Arial" w:hAnsi="Arial" w:cs="Arial"/>
        </w:rPr>
        <w:br/>
      </w:r>
    </w:p>
    <w:p w14:paraId="04B66E2F" w14:textId="77777777" w:rsidR="00A06949" w:rsidRPr="00556539" w:rsidRDefault="00A06949" w:rsidP="0020615A">
      <w:pPr>
        <w:ind w:left="720"/>
        <w:rPr>
          <w:rFonts w:ascii="Arial" w:hAnsi="Arial" w:cs="Arial"/>
        </w:rPr>
      </w:pPr>
    </w:p>
    <w:p w14:paraId="7D1BD5E4" w14:textId="77777777" w:rsidR="00752C6A" w:rsidRPr="0020615A" w:rsidRDefault="00752C6A" w:rsidP="0020615A">
      <w:pPr>
        <w:pStyle w:val="Listeafsnit"/>
        <w:numPr>
          <w:ilvl w:val="0"/>
          <w:numId w:val="8"/>
        </w:numPr>
        <w:rPr>
          <w:rFonts w:ascii="Arial" w:hAnsi="Arial" w:cs="Arial"/>
          <w:i/>
        </w:rPr>
      </w:pPr>
      <w:proofErr w:type="spellStart"/>
      <w:r w:rsidRPr="0020615A">
        <w:rPr>
          <w:rFonts w:ascii="Arial" w:hAnsi="Arial" w:cs="Arial"/>
          <w:i/>
        </w:rPr>
        <w:lastRenderedPageBreak/>
        <w:t>Glukokortikoider</w:t>
      </w:r>
      <w:proofErr w:type="spellEnd"/>
      <w:r w:rsidRPr="0020615A">
        <w:rPr>
          <w:rFonts w:ascii="Arial" w:hAnsi="Arial" w:cs="Arial"/>
          <w:i/>
        </w:rPr>
        <w:t xml:space="preserve"> til dermatologisk brug ATC D07AB</w:t>
      </w:r>
    </w:p>
    <w:p w14:paraId="2FE99612" w14:textId="77777777" w:rsidR="00752C6A" w:rsidRPr="00556539" w:rsidRDefault="00752C6A" w:rsidP="0020615A">
      <w:pPr>
        <w:ind w:left="720"/>
        <w:rPr>
          <w:rFonts w:ascii="Arial" w:hAnsi="Arial" w:cs="Arial"/>
        </w:rPr>
      </w:pPr>
      <w:r w:rsidRPr="00556539">
        <w:rPr>
          <w:rFonts w:ascii="Arial" w:hAnsi="Arial" w:cs="Arial"/>
        </w:rPr>
        <w:t xml:space="preserve">National Klinisk Retningslinje for Psoriasis, Sundhedsstyrelsen, 2016, </w:t>
      </w:r>
      <w:hyperlink r:id="rId32" w:history="1">
        <w:r w:rsidRPr="00556539">
          <w:rPr>
            <w:rStyle w:val="Hyperlink"/>
            <w:rFonts w:ascii="Arial" w:hAnsi="Arial" w:cs="Arial"/>
          </w:rPr>
          <w:t>https://www.sst.dk/da/udgivelser/2016/~/media/8A7C8C59AD5249C2B433530466C1EDB6.ashx</w:t>
        </w:r>
      </w:hyperlink>
      <w:r w:rsidRPr="00556539">
        <w:rPr>
          <w:rFonts w:ascii="Arial" w:hAnsi="Arial" w:cs="Arial"/>
        </w:rPr>
        <w:t xml:space="preserve"> </w:t>
      </w:r>
    </w:p>
    <w:p w14:paraId="2F2F0F53" w14:textId="77777777" w:rsidR="00752C6A" w:rsidRPr="00556539" w:rsidRDefault="00752C6A" w:rsidP="00A06949">
      <w:pPr>
        <w:ind w:left="720"/>
        <w:rPr>
          <w:rFonts w:ascii="Arial" w:hAnsi="Arial" w:cs="Arial"/>
        </w:rPr>
      </w:pPr>
      <w:r w:rsidRPr="00556539">
        <w:rPr>
          <w:rFonts w:ascii="Arial" w:hAnsi="Arial" w:cs="Arial"/>
        </w:rPr>
        <w:t xml:space="preserve">National Klinisk Retningslinje for behandling af håndeksem, Sundhedsstyrelsen 2016, </w:t>
      </w:r>
      <w:hyperlink r:id="rId33" w:history="1">
        <w:r w:rsidRPr="00556539">
          <w:rPr>
            <w:rStyle w:val="Hyperlink"/>
            <w:rFonts w:ascii="Arial" w:hAnsi="Arial" w:cs="Arial"/>
          </w:rPr>
          <w:t>https://www.sst.dk/da/udgivelser/2016/~/media/B3730B725C404191AEF906B427391D99.ashx</w:t>
        </w:r>
      </w:hyperlink>
      <w:r w:rsidRPr="00556539">
        <w:rPr>
          <w:rFonts w:ascii="Arial" w:hAnsi="Arial" w:cs="Arial"/>
        </w:rPr>
        <w:t xml:space="preserve"> </w:t>
      </w:r>
    </w:p>
    <w:p w14:paraId="3B6BB460" w14:textId="77777777" w:rsidR="00752C6A" w:rsidRPr="00556539" w:rsidRDefault="00752C6A" w:rsidP="00A06949">
      <w:pPr>
        <w:ind w:left="720"/>
        <w:rPr>
          <w:rFonts w:ascii="Arial" w:hAnsi="Arial" w:cs="Arial"/>
        </w:rPr>
      </w:pPr>
      <w:proofErr w:type="spellStart"/>
      <w:r w:rsidRPr="00556539">
        <w:rPr>
          <w:rFonts w:ascii="Arial" w:hAnsi="Arial" w:cs="Arial"/>
        </w:rPr>
        <w:t>Atoisk</w:t>
      </w:r>
      <w:proofErr w:type="spellEnd"/>
      <w:r w:rsidRPr="00556539">
        <w:rPr>
          <w:rFonts w:ascii="Arial" w:hAnsi="Arial" w:cs="Arial"/>
        </w:rPr>
        <w:t xml:space="preserve"> </w:t>
      </w:r>
      <w:proofErr w:type="spellStart"/>
      <w:r w:rsidRPr="00556539">
        <w:rPr>
          <w:rFonts w:ascii="Arial" w:hAnsi="Arial" w:cs="Arial"/>
        </w:rPr>
        <w:t>Dermatit</w:t>
      </w:r>
      <w:proofErr w:type="spellEnd"/>
      <w:r w:rsidRPr="00556539">
        <w:rPr>
          <w:rFonts w:ascii="Arial" w:hAnsi="Arial" w:cs="Arial"/>
        </w:rPr>
        <w:t xml:space="preserve">, </w:t>
      </w:r>
      <w:hyperlink r:id="rId34" w:history="1">
        <w:r w:rsidRPr="00556539">
          <w:rPr>
            <w:rStyle w:val="Hyperlink"/>
            <w:rFonts w:ascii="Arial" w:hAnsi="Arial" w:cs="Arial"/>
          </w:rPr>
          <w:t>http://dds.nu/wp-content/uploads/2014/04/ad-guidelines.pdf</w:t>
        </w:r>
      </w:hyperlink>
      <w:r w:rsidRPr="00556539">
        <w:rPr>
          <w:rFonts w:ascii="Arial" w:hAnsi="Arial" w:cs="Arial"/>
        </w:rPr>
        <w:t xml:space="preserve"> </w:t>
      </w:r>
    </w:p>
    <w:p w14:paraId="2DF39CD2" w14:textId="77777777" w:rsidR="00752C6A" w:rsidRPr="00A06949" w:rsidRDefault="00752C6A" w:rsidP="00A06949">
      <w:pPr>
        <w:pStyle w:val="Listeafsnit"/>
        <w:numPr>
          <w:ilvl w:val="0"/>
          <w:numId w:val="8"/>
        </w:numPr>
        <w:rPr>
          <w:rFonts w:ascii="Arial" w:hAnsi="Arial" w:cs="Arial"/>
          <w:i/>
        </w:rPr>
      </w:pPr>
      <w:r w:rsidRPr="00A06949">
        <w:rPr>
          <w:rFonts w:ascii="Arial" w:hAnsi="Arial" w:cs="Arial"/>
          <w:i/>
        </w:rPr>
        <w:t xml:space="preserve">Hormonale </w:t>
      </w:r>
      <w:proofErr w:type="spellStart"/>
      <w:r w:rsidRPr="00A06949">
        <w:rPr>
          <w:rFonts w:ascii="Arial" w:hAnsi="Arial" w:cs="Arial"/>
          <w:i/>
        </w:rPr>
        <w:t>kontraceptiva</w:t>
      </w:r>
      <w:proofErr w:type="spellEnd"/>
      <w:r w:rsidRPr="00A06949">
        <w:rPr>
          <w:rFonts w:ascii="Arial" w:hAnsi="Arial" w:cs="Arial"/>
          <w:i/>
        </w:rPr>
        <w:t xml:space="preserve"> (p-piller) ATC G03A</w:t>
      </w:r>
    </w:p>
    <w:p w14:paraId="75D3E4E0" w14:textId="77777777" w:rsidR="00752C6A" w:rsidRPr="00556539" w:rsidRDefault="00752C6A" w:rsidP="00A06949">
      <w:pPr>
        <w:ind w:left="709"/>
        <w:rPr>
          <w:rFonts w:ascii="Arial" w:hAnsi="Arial" w:cs="Arial"/>
        </w:rPr>
      </w:pPr>
      <w:r w:rsidRPr="00556539">
        <w:rPr>
          <w:rFonts w:ascii="Arial" w:hAnsi="Arial" w:cs="Arial"/>
        </w:rPr>
        <w:t xml:space="preserve">P-piller – hvilken én? Rationel </w:t>
      </w:r>
      <w:proofErr w:type="spellStart"/>
      <w:r w:rsidRPr="00556539">
        <w:rPr>
          <w:rFonts w:ascii="Arial" w:hAnsi="Arial" w:cs="Arial"/>
        </w:rPr>
        <w:t>Farmekoterapi</w:t>
      </w:r>
      <w:proofErr w:type="spellEnd"/>
      <w:r w:rsidRPr="00556539">
        <w:rPr>
          <w:rFonts w:ascii="Arial" w:hAnsi="Arial" w:cs="Arial"/>
        </w:rPr>
        <w:t xml:space="preserve"> </w:t>
      </w:r>
      <w:proofErr w:type="spellStart"/>
      <w:r w:rsidRPr="00556539">
        <w:rPr>
          <w:rFonts w:ascii="Arial" w:hAnsi="Arial" w:cs="Arial"/>
        </w:rPr>
        <w:t>nr</w:t>
      </w:r>
      <w:proofErr w:type="spellEnd"/>
      <w:r w:rsidRPr="00556539">
        <w:rPr>
          <w:rFonts w:ascii="Arial" w:hAnsi="Arial" w:cs="Arial"/>
        </w:rPr>
        <w:t xml:space="preserve"> 6, 2016, </w:t>
      </w:r>
      <w:hyperlink r:id="rId35" w:history="1">
        <w:r w:rsidRPr="00556539">
          <w:rPr>
            <w:rStyle w:val="Hyperlink"/>
            <w:rFonts w:ascii="Arial" w:hAnsi="Arial" w:cs="Arial"/>
          </w:rPr>
          <w:t>https://www.sst.dk/da/rationel-farmakoterapi/maanedsbladet/2016/rationel-farmakoterapi-6,-2016/p-piller-hvilken-en</w:t>
        </w:r>
      </w:hyperlink>
    </w:p>
    <w:p w14:paraId="5D00553E" w14:textId="77777777" w:rsidR="00752C6A" w:rsidRPr="00A06949" w:rsidRDefault="00752C6A" w:rsidP="00A06949">
      <w:pPr>
        <w:pStyle w:val="Listeafsnit"/>
        <w:numPr>
          <w:ilvl w:val="0"/>
          <w:numId w:val="8"/>
        </w:numPr>
        <w:ind w:left="709"/>
        <w:rPr>
          <w:rFonts w:ascii="Arial" w:hAnsi="Arial" w:cs="Arial"/>
          <w:i/>
        </w:rPr>
      </w:pPr>
      <w:proofErr w:type="spellStart"/>
      <w:r w:rsidRPr="00A06949">
        <w:rPr>
          <w:rFonts w:ascii="Arial" w:hAnsi="Arial" w:cs="Arial"/>
          <w:i/>
        </w:rPr>
        <w:t>Bisfosfonater</w:t>
      </w:r>
      <w:proofErr w:type="spellEnd"/>
      <w:r w:rsidRPr="00A06949">
        <w:rPr>
          <w:rFonts w:ascii="Arial" w:hAnsi="Arial" w:cs="Arial"/>
          <w:i/>
        </w:rPr>
        <w:t xml:space="preserve"> ATC M05BA</w:t>
      </w:r>
    </w:p>
    <w:p w14:paraId="70D30CB4" w14:textId="77777777" w:rsidR="00752C6A" w:rsidRPr="00556539" w:rsidRDefault="00752C6A" w:rsidP="00A06949">
      <w:pPr>
        <w:ind w:left="709"/>
        <w:rPr>
          <w:rFonts w:ascii="Arial" w:hAnsi="Arial" w:cs="Arial"/>
        </w:rPr>
      </w:pPr>
      <w:r w:rsidRPr="00556539">
        <w:rPr>
          <w:rFonts w:ascii="Arial" w:hAnsi="Arial" w:cs="Arial"/>
        </w:rPr>
        <w:t xml:space="preserve">Farmakologisk behandling af primær osteoporose, Rekommandationsliste, IRF 2019, </w:t>
      </w:r>
      <w:hyperlink r:id="rId36" w:history="1">
        <w:r w:rsidRPr="00556539">
          <w:rPr>
            <w:rStyle w:val="Hyperlink"/>
            <w:rFonts w:ascii="Arial" w:hAnsi="Arial" w:cs="Arial"/>
          </w:rPr>
          <w:t>https://www.sst.dk/da/rationel-farmakoterapi/rekommandationsliste/oversigt/endokrinologi/farmakologisk-behandling-af-primaer-osteoporose</w:t>
        </w:r>
      </w:hyperlink>
      <w:r w:rsidRPr="00556539">
        <w:rPr>
          <w:rFonts w:ascii="Arial" w:hAnsi="Arial" w:cs="Arial"/>
        </w:rPr>
        <w:t xml:space="preserve"> </w:t>
      </w:r>
    </w:p>
    <w:p w14:paraId="6B9B45C8" w14:textId="77777777" w:rsidR="00752C6A" w:rsidRPr="00556539" w:rsidRDefault="00752C6A" w:rsidP="00A06949">
      <w:pPr>
        <w:ind w:left="709"/>
        <w:rPr>
          <w:rFonts w:ascii="Arial" w:hAnsi="Arial" w:cs="Arial"/>
        </w:rPr>
      </w:pPr>
      <w:r w:rsidRPr="00556539">
        <w:rPr>
          <w:rFonts w:ascii="Arial" w:hAnsi="Arial" w:cs="Arial"/>
        </w:rPr>
        <w:t xml:space="preserve">Behandling af primær osteoporose i almen praksis. Rationel </w:t>
      </w:r>
      <w:proofErr w:type="spellStart"/>
      <w:r w:rsidRPr="00556539">
        <w:rPr>
          <w:rFonts w:ascii="Arial" w:hAnsi="Arial" w:cs="Arial"/>
        </w:rPr>
        <w:t>farmakoterapi</w:t>
      </w:r>
      <w:proofErr w:type="spellEnd"/>
      <w:r w:rsidRPr="00556539">
        <w:rPr>
          <w:rFonts w:ascii="Arial" w:hAnsi="Arial" w:cs="Arial"/>
        </w:rPr>
        <w:t xml:space="preserve">, nr. 2, 2019. IRF. </w:t>
      </w:r>
      <w:hyperlink r:id="rId37" w:history="1">
        <w:r w:rsidRPr="00556539">
          <w:rPr>
            <w:rStyle w:val="Hyperlink"/>
            <w:rFonts w:ascii="Arial" w:hAnsi="Arial" w:cs="Arial"/>
          </w:rPr>
          <w:t>https://www.sst.dk/da/rationel-farmakoterapi/maanedsbladet/2019/~/media/ACDDCCD108DE41DC8FBDCFA68AB9EE1F.ashx</w:t>
        </w:r>
      </w:hyperlink>
      <w:r w:rsidRPr="00556539">
        <w:rPr>
          <w:rFonts w:ascii="Arial" w:hAnsi="Arial" w:cs="Arial"/>
        </w:rPr>
        <w:t xml:space="preserve"> </w:t>
      </w:r>
    </w:p>
    <w:p w14:paraId="3ED0F52E" w14:textId="77777777" w:rsidR="00752C6A" w:rsidRPr="0020615A" w:rsidRDefault="00752C6A" w:rsidP="0020615A">
      <w:pPr>
        <w:pStyle w:val="Listeafsnit"/>
        <w:numPr>
          <w:ilvl w:val="0"/>
          <w:numId w:val="8"/>
        </w:numPr>
        <w:rPr>
          <w:rFonts w:ascii="Arial" w:hAnsi="Arial" w:cs="Arial"/>
          <w:i/>
        </w:rPr>
      </w:pPr>
      <w:proofErr w:type="spellStart"/>
      <w:r w:rsidRPr="0020615A">
        <w:rPr>
          <w:rFonts w:ascii="Arial" w:hAnsi="Arial" w:cs="Arial"/>
          <w:i/>
        </w:rPr>
        <w:t>Glukokortikoider</w:t>
      </w:r>
      <w:proofErr w:type="spellEnd"/>
      <w:r w:rsidRPr="0020615A">
        <w:rPr>
          <w:rFonts w:ascii="Arial" w:hAnsi="Arial" w:cs="Arial"/>
          <w:i/>
        </w:rPr>
        <w:t xml:space="preserve"> til nasal administration ATC R01AD</w:t>
      </w:r>
    </w:p>
    <w:p w14:paraId="3F796CA8" w14:textId="16CE798E" w:rsidR="00752C6A" w:rsidRPr="00556539" w:rsidRDefault="00752C6A" w:rsidP="00A06949">
      <w:pPr>
        <w:ind w:left="720"/>
        <w:rPr>
          <w:rFonts w:ascii="Arial" w:hAnsi="Arial" w:cs="Arial"/>
        </w:rPr>
      </w:pPr>
      <w:r w:rsidRPr="00556539">
        <w:rPr>
          <w:rFonts w:ascii="Arial" w:hAnsi="Arial" w:cs="Arial"/>
        </w:rPr>
        <w:t xml:space="preserve">National Klinisk Retningslinje for behandling af høfeber (allergisk </w:t>
      </w:r>
      <w:proofErr w:type="spellStart"/>
      <w:r w:rsidRPr="00556539">
        <w:rPr>
          <w:rFonts w:ascii="Arial" w:hAnsi="Arial" w:cs="Arial"/>
        </w:rPr>
        <w:t>rhinokonjunktivitis</w:t>
      </w:r>
      <w:proofErr w:type="spellEnd"/>
      <w:r w:rsidRPr="00556539">
        <w:rPr>
          <w:rFonts w:ascii="Arial" w:hAnsi="Arial" w:cs="Arial"/>
        </w:rPr>
        <w:t xml:space="preserve">), Sundhedsstyrelsen 2015, </w:t>
      </w:r>
      <w:hyperlink r:id="rId38" w:history="1">
        <w:r w:rsidRPr="00556539">
          <w:rPr>
            <w:rStyle w:val="Hyperlink"/>
            <w:rFonts w:ascii="Arial" w:hAnsi="Arial" w:cs="Arial"/>
          </w:rPr>
          <w:t>https://www.sst.dk/da/udgivelser/2015/nkr-hoefeber</w:t>
        </w:r>
      </w:hyperlink>
      <w:r w:rsidRPr="00556539">
        <w:rPr>
          <w:rFonts w:ascii="Arial" w:hAnsi="Arial" w:cs="Arial"/>
        </w:rPr>
        <w:t xml:space="preserve">  </w:t>
      </w:r>
    </w:p>
    <w:p w14:paraId="304A3EFA" w14:textId="77777777" w:rsidR="00752C6A" w:rsidRPr="0020615A" w:rsidRDefault="00752C6A" w:rsidP="0020615A">
      <w:pPr>
        <w:pStyle w:val="Listeafsnit"/>
        <w:numPr>
          <w:ilvl w:val="0"/>
          <w:numId w:val="8"/>
        </w:numPr>
        <w:rPr>
          <w:rFonts w:ascii="Arial" w:hAnsi="Arial" w:cs="Arial"/>
          <w:i/>
        </w:rPr>
      </w:pPr>
      <w:r w:rsidRPr="0020615A">
        <w:rPr>
          <w:rFonts w:ascii="Arial" w:hAnsi="Arial" w:cs="Arial"/>
          <w:i/>
        </w:rPr>
        <w:t xml:space="preserve">Beta-2-agonister og </w:t>
      </w:r>
      <w:proofErr w:type="spellStart"/>
      <w:r w:rsidRPr="0020615A">
        <w:rPr>
          <w:rFonts w:ascii="Arial" w:hAnsi="Arial" w:cs="Arial"/>
          <w:i/>
        </w:rPr>
        <w:t>glukokotikoider</w:t>
      </w:r>
      <w:proofErr w:type="spellEnd"/>
      <w:r w:rsidRPr="0020615A">
        <w:rPr>
          <w:rFonts w:ascii="Arial" w:hAnsi="Arial" w:cs="Arial"/>
          <w:i/>
        </w:rPr>
        <w:t xml:space="preserve"> til inhalation ATC R03AC, R03AK, R03BA</w:t>
      </w:r>
    </w:p>
    <w:p w14:paraId="2B5EBD69" w14:textId="77777777" w:rsidR="00752C6A" w:rsidRPr="00556539" w:rsidRDefault="00752C6A" w:rsidP="00A06949">
      <w:pPr>
        <w:ind w:left="720"/>
        <w:rPr>
          <w:rFonts w:ascii="Arial" w:hAnsi="Arial" w:cs="Arial"/>
        </w:rPr>
      </w:pPr>
      <w:r w:rsidRPr="00556539">
        <w:rPr>
          <w:rFonts w:ascii="Arial" w:hAnsi="Arial" w:cs="Arial"/>
        </w:rPr>
        <w:t xml:space="preserve">KOL, Dansk Selskab for Almen Medicin, 2017, </w:t>
      </w:r>
      <w:hyperlink r:id="rId39" w:history="1">
        <w:r w:rsidRPr="00556539">
          <w:rPr>
            <w:rStyle w:val="Hyperlink"/>
            <w:rFonts w:ascii="Arial" w:hAnsi="Arial" w:cs="Arial"/>
          </w:rPr>
          <w:t>https://vejledninger.dsam.dk/kol</w:t>
        </w:r>
      </w:hyperlink>
      <w:r w:rsidRPr="00556539">
        <w:rPr>
          <w:rFonts w:ascii="Arial" w:hAnsi="Arial" w:cs="Arial"/>
        </w:rPr>
        <w:t xml:space="preserve"> </w:t>
      </w:r>
    </w:p>
    <w:p w14:paraId="6C952EA6" w14:textId="77777777" w:rsidR="00752C6A" w:rsidRPr="00556539" w:rsidRDefault="00752C6A" w:rsidP="00A06949">
      <w:pPr>
        <w:ind w:left="720"/>
        <w:rPr>
          <w:rFonts w:ascii="Arial" w:hAnsi="Arial" w:cs="Arial"/>
        </w:rPr>
      </w:pPr>
      <w:r w:rsidRPr="00556539">
        <w:rPr>
          <w:rFonts w:ascii="Arial" w:hAnsi="Arial" w:cs="Arial"/>
        </w:rPr>
        <w:t xml:space="preserve">Vedligeholdelsesbehandling af kronisk obstruktiv lungesygdom (KOL) uden astmakomponent, Rekommandationsliste, IRF, </w:t>
      </w:r>
      <w:hyperlink r:id="rId40" w:history="1">
        <w:r w:rsidRPr="00556539">
          <w:rPr>
            <w:rStyle w:val="Hyperlink"/>
            <w:rFonts w:ascii="Arial" w:hAnsi="Arial" w:cs="Arial"/>
          </w:rPr>
          <w:t>https://www.sst.dk/da/rationel-farmakoterapi/rekommandationsliste/oversigt/luftveje/vedligeholdelsesbehandling-af-kronisk-obstruktiv-lungesygdom-kol-uden-astmakomponent</w:t>
        </w:r>
      </w:hyperlink>
      <w:r w:rsidRPr="00556539">
        <w:rPr>
          <w:rFonts w:ascii="Arial" w:hAnsi="Arial" w:cs="Arial"/>
        </w:rPr>
        <w:t xml:space="preserve"> </w:t>
      </w:r>
    </w:p>
    <w:p w14:paraId="322B776A" w14:textId="77777777" w:rsidR="00752C6A" w:rsidRPr="00556539" w:rsidRDefault="00752C6A" w:rsidP="00A06949">
      <w:pPr>
        <w:ind w:left="720"/>
        <w:rPr>
          <w:rFonts w:ascii="Arial" w:hAnsi="Arial" w:cs="Arial"/>
        </w:rPr>
      </w:pPr>
      <w:r w:rsidRPr="00556539">
        <w:rPr>
          <w:rFonts w:ascii="Arial" w:hAnsi="Arial" w:cs="Arial"/>
        </w:rPr>
        <w:t xml:space="preserve">Astma: behandling, Dansk Lungemedicinsk Selskab, 2015, </w:t>
      </w:r>
      <w:hyperlink r:id="rId41" w:anchor="GenereltOmAstmaBehandling" w:history="1">
        <w:r w:rsidRPr="00556539">
          <w:rPr>
            <w:rStyle w:val="Hyperlink"/>
            <w:rFonts w:ascii="Arial" w:hAnsi="Arial" w:cs="Arial"/>
          </w:rPr>
          <w:t>https://www.lungemedicin.dk/fagligt/39-astma-behandling.html#GenereltOmAstmaBehandling</w:t>
        </w:r>
      </w:hyperlink>
      <w:r w:rsidRPr="00556539">
        <w:rPr>
          <w:rFonts w:ascii="Arial" w:hAnsi="Arial" w:cs="Arial"/>
        </w:rPr>
        <w:t xml:space="preserve"> </w:t>
      </w:r>
    </w:p>
    <w:p w14:paraId="4890E092" w14:textId="77777777" w:rsidR="00752C6A" w:rsidRPr="00556539" w:rsidRDefault="00752C6A" w:rsidP="0090785D">
      <w:pPr>
        <w:ind w:left="-360"/>
        <w:rPr>
          <w:rFonts w:ascii="Arial" w:hAnsi="Arial" w:cs="Arial"/>
          <w:u w:val="single"/>
        </w:rPr>
      </w:pPr>
    </w:p>
    <w:sectPr w:rsidR="00752C6A" w:rsidRPr="00556539">
      <w:footerReference w:type="default" r:id="rId4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569A" w14:textId="77777777" w:rsidR="00416CDA" w:rsidRDefault="00416CDA" w:rsidP="00416CDA">
      <w:pPr>
        <w:spacing w:after="0" w:line="240" w:lineRule="auto"/>
      </w:pPr>
      <w:r>
        <w:separator/>
      </w:r>
    </w:p>
  </w:endnote>
  <w:endnote w:type="continuationSeparator" w:id="0">
    <w:p w14:paraId="4AC9D327" w14:textId="77777777" w:rsidR="00416CDA" w:rsidRDefault="00416CDA" w:rsidP="0041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E092" w14:textId="7BE3DC43" w:rsidR="00416CDA" w:rsidRPr="00416CDA" w:rsidRDefault="00416CDA" w:rsidP="00416CDA">
    <w:pPr>
      <w:pStyle w:val="Sidefod"/>
      <w:jc w:val="right"/>
      <w:rPr>
        <w:sz w:val="16"/>
        <w:szCs w:val="16"/>
      </w:rPr>
    </w:pPr>
    <w:r>
      <w:rPr>
        <w:rFonts w:ascii="Arial" w:hAnsi="Arial" w:cs="Arial"/>
        <w:sz w:val="16"/>
        <w:szCs w:val="16"/>
      </w:rPr>
      <w:t>Behandlerfarmaceut forår 2019, version 1</w:t>
    </w:r>
    <w:r w:rsidRPr="00416CDA">
      <w:t xml:space="preserve"> </w:t>
    </w:r>
    <w:sdt>
      <w:sdtPr>
        <w:id w:val="-1448846754"/>
        <w:docPartObj>
          <w:docPartGallery w:val="Page Numbers (Bottom of Page)"/>
          <w:docPartUnique/>
        </w:docPartObj>
      </w:sdtPr>
      <w:sdtEndPr>
        <w:rPr>
          <w:sz w:val="16"/>
          <w:szCs w:val="16"/>
        </w:rPr>
      </w:sdtEndPr>
      <w:sdtContent>
        <w:r>
          <w:tab/>
        </w:r>
        <w:r>
          <w:tab/>
        </w:r>
        <w:r w:rsidRPr="00416CDA">
          <w:rPr>
            <w:sz w:val="16"/>
            <w:szCs w:val="16"/>
          </w:rPr>
          <w:fldChar w:fldCharType="begin"/>
        </w:r>
        <w:r w:rsidRPr="00416CDA">
          <w:rPr>
            <w:sz w:val="16"/>
            <w:szCs w:val="16"/>
          </w:rPr>
          <w:instrText>PAGE   \* MERGEFORMAT</w:instrText>
        </w:r>
        <w:r w:rsidRPr="00416CDA">
          <w:rPr>
            <w:sz w:val="16"/>
            <w:szCs w:val="16"/>
          </w:rPr>
          <w:fldChar w:fldCharType="separate"/>
        </w:r>
        <w:r w:rsidRPr="00416CDA">
          <w:rPr>
            <w:sz w:val="16"/>
            <w:szCs w:val="16"/>
          </w:rPr>
          <w:t>1</w:t>
        </w:r>
        <w:r w:rsidRPr="00416CD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0C8C" w14:textId="77777777" w:rsidR="00416CDA" w:rsidRDefault="00416CDA" w:rsidP="00416CDA">
      <w:pPr>
        <w:spacing w:after="0" w:line="240" w:lineRule="auto"/>
      </w:pPr>
      <w:r>
        <w:separator/>
      </w:r>
    </w:p>
  </w:footnote>
  <w:footnote w:type="continuationSeparator" w:id="0">
    <w:p w14:paraId="48B2ED25" w14:textId="77777777" w:rsidR="00416CDA" w:rsidRDefault="00416CDA" w:rsidP="0041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939"/>
    <w:multiLevelType w:val="hybridMultilevel"/>
    <w:tmpl w:val="9BC8CB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D12848"/>
    <w:multiLevelType w:val="hybridMultilevel"/>
    <w:tmpl w:val="00481D76"/>
    <w:lvl w:ilvl="0" w:tplc="BF04B0AE">
      <w:start w:val="1"/>
      <w:numFmt w:val="bullet"/>
      <w:lvlText w:val="•"/>
      <w:lvlJc w:val="left"/>
      <w:pPr>
        <w:tabs>
          <w:tab w:val="num" w:pos="720"/>
        </w:tabs>
        <w:ind w:left="720" w:hanging="360"/>
      </w:pPr>
      <w:rPr>
        <w:rFonts w:ascii="Verdana" w:hAnsi="Verdana" w:hint="default"/>
      </w:rPr>
    </w:lvl>
    <w:lvl w:ilvl="1" w:tplc="8E2EF536" w:tentative="1">
      <w:start w:val="1"/>
      <w:numFmt w:val="bullet"/>
      <w:lvlText w:val="•"/>
      <w:lvlJc w:val="left"/>
      <w:pPr>
        <w:tabs>
          <w:tab w:val="num" w:pos="1440"/>
        </w:tabs>
        <w:ind w:left="1440" w:hanging="360"/>
      </w:pPr>
      <w:rPr>
        <w:rFonts w:ascii="Verdana" w:hAnsi="Verdana" w:hint="default"/>
      </w:rPr>
    </w:lvl>
    <w:lvl w:ilvl="2" w:tplc="98849EAC" w:tentative="1">
      <w:start w:val="1"/>
      <w:numFmt w:val="bullet"/>
      <w:lvlText w:val="•"/>
      <w:lvlJc w:val="left"/>
      <w:pPr>
        <w:tabs>
          <w:tab w:val="num" w:pos="2160"/>
        </w:tabs>
        <w:ind w:left="2160" w:hanging="360"/>
      </w:pPr>
      <w:rPr>
        <w:rFonts w:ascii="Verdana" w:hAnsi="Verdana" w:hint="default"/>
      </w:rPr>
    </w:lvl>
    <w:lvl w:ilvl="3" w:tplc="932A1F58" w:tentative="1">
      <w:start w:val="1"/>
      <w:numFmt w:val="bullet"/>
      <w:lvlText w:val="•"/>
      <w:lvlJc w:val="left"/>
      <w:pPr>
        <w:tabs>
          <w:tab w:val="num" w:pos="2880"/>
        </w:tabs>
        <w:ind w:left="2880" w:hanging="360"/>
      </w:pPr>
      <w:rPr>
        <w:rFonts w:ascii="Verdana" w:hAnsi="Verdana" w:hint="default"/>
      </w:rPr>
    </w:lvl>
    <w:lvl w:ilvl="4" w:tplc="E386344E" w:tentative="1">
      <w:start w:val="1"/>
      <w:numFmt w:val="bullet"/>
      <w:lvlText w:val="•"/>
      <w:lvlJc w:val="left"/>
      <w:pPr>
        <w:tabs>
          <w:tab w:val="num" w:pos="3600"/>
        </w:tabs>
        <w:ind w:left="3600" w:hanging="360"/>
      </w:pPr>
      <w:rPr>
        <w:rFonts w:ascii="Verdana" w:hAnsi="Verdana" w:hint="default"/>
      </w:rPr>
    </w:lvl>
    <w:lvl w:ilvl="5" w:tplc="F1E81610" w:tentative="1">
      <w:start w:val="1"/>
      <w:numFmt w:val="bullet"/>
      <w:lvlText w:val="•"/>
      <w:lvlJc w:val="left"/>
      <w:pPr>
        <w:tabs>
          <w:tab w:val="num" w:pos="4320"/>
        </w:tabs>
        <w:ind w:left="4320" w:hanging="360"/>
      </w:pPr>
      <w:rPr>
        <w:rFonts w:ascii="Verdana" w:hAnsi="Verdana" w:hint="default"/>
      </w:rPr>
    </w:lvl>
    <w:lvl w:ilvl="6" w:tplc="CDAE2004" w:tentative="1">
      <w:start w:val="1"/>
      <w:numFmt w:val="bullet"/>
      <w:lvlText w:val="•"/>
      <w:lvlJc w:val="left"/>
      <w:pPr>
        <w:tabs>
          <w:tab w:val="num" w:pos="5040"/>
        </w:tabs>
        <w:ind w:left="5040" w:hanging="360"/>
      </w:pPr>
      <w:rPr>
        <w:rFonts w:ascii="Verdana" w:hAnsi="Verdana" w:hint="default"/>
      </w:rPr>
    </w:lvl>
    <w:lvl w:ilvl="7" w:tplc="9A82FE22" w:tentative="1">
      <w:start w:val="1"/>
      <w:numFmt w:val="bullet"/>
      <w:lvlText w:val="•"/>
      <w:lvlJc w:val="left"/>
      <w:pPr>
        <w:tabs>
          <w:tab w:val="num" w:pos="5760"/>
        </w:tabs>
        <w:ind w:left="5760" w:hanging="360"/>
      </w:pPr>
      <w:rPr>
        <w:rFonts w:ascii="Verdana" w:hAnsi="Verdana" w:hint="default"/>
      </w:rPr>
    </w:lvl>
    <w:lvl w:ilvl="8" w:tplc="F804349E"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E6A0251"/>
    <w:multiLevelType w:val="hybridMultilevel"/>
    <w:tmpl w:val="37C4CC58"/>
    <w:lvl w:ilvl="0" w:tplc="05B08AEE">
      <w:start w:val="1"/>
      <w:numFmt w:val="bullet"/>
      <w:lvlText w:val="•"/>
      <w:lvlJc w:val="left"/>
      <w:pPr>
        <w:tabs>
          <w:tab w:val="num" w:pos="720"/>
        </w:tabs>
        <w:ind w:left="720" w:hanging="360"/>
      </w:pPr>
      <w:rPr>
        <w:rFonts w:ascii="Verdana" w:hAnsi="Verdana" w:hint="default"/>
      </w:rPr>
    </w:lvl>
    <w:lvl w:ilvl="1" w:tplc="5F90A76A">
      <w:start w:val="3900"/>
      <w:numFmt w:val="bullet"/>
      <w:lvlText w:val="•"/>
      <w:lvlJc w:val="left"/>
      <w:pPr>
        <w:tabs>
          <w:tab w:val="num" w:pos="1440"/>
        </w:tabs>
        <w:ind w:left="1440" w:hanging="360"/>
      </w:pPr>
      <w:rPr>
        <w:rFonts w:ascii="Verdana" w:hAnsi="Verdana" w:hint="default"/>
      </w:rPr>
    </w:lvl>
    <w:lvl w:ilvl="2" w:tplc="314CAE00" w:tentative="1">
      <w:start w:val="1"/>
      <w:numFmt w:val="bullet"/>
      <w:lvlText w:val="•"/>
      <w:lvlJc w:val="left"/>
      <w:pPr>
        <w:tabs>
          <w:tab w:val="num" w:pos="2160"/>
        </w:tabs>
        <w:ind w:left="2160" w:hanging="360"/>
      </w:pPr>
      <w:rPr>
        <w:rFonts w:ascii="Verdana" w:hAnsi="Verdana" w:hint="default"/>
      </w:rPr>
    </w:lvl>
    <w:lvl w:ilvl="3" w:tplc="B1E6611A" w:tentative="1">
      <w:start w:val="1"/>
      <w:numFmt w:val="bullet"/>
      <w:lvlText w:val="•"/>
      <w:lvlJc w:val="left"/>
      <w:pPr>
        <w:tabs>
          <w:tab w:val="num" w:pos="2880"/>
        </w:tabs>
        <w:ind w:left="2880" w:hanging="360"/>
      </w:pPr>
      <w:rPr>
        <w:rFonts w:ascii="Verdana" w:hAnsi="Verdana" w:hint="default"/>
      </w:rPr>
    </w:lvl>
    <w:lvl w:ilvl="4" w:tplc="9CE8E778" w:tentative="1">
      <w:start w:val="1"/>
      <w:numFmt w:val="bullet"/>
      <w:lvlText w:val="•"/>
      <w:lvlJc w:val="left"/>
      <w:pPr>
        <w:tabs>
          <w:tab w:val="num" w:pos="3600"/>
        </w:tabs>
        <w:ind w:left="3600" w:hanging="360"/>
      </w:pPr>
      <w:rPr>
        <w:rFonts w:ascii="Verdana" w:hAnsi="Verdana" w:hint="default"/>
      </w:rPr>
    </w:lvl>
    <w:lvl w:ilvl="5" w:tplc="6E5E8F9E" w:tentative="1">
      <w:start w:val="1"/>
      <w:numFmt w:val="bullet"/>
      <w:lvlText w:val="•"/>
      <w:lvlJc w:val="left"/>
      <w:pPr>
        <w:tabs>
          <w:tab w:val="num" w:pos="4320"/>
        </w:tabs>
        <w:ind w:left="4320" w:hanging="360"/>
      </w:pPr>
      <w:rPr>
        <w:rFonts w:ascii="Verdana" w:hAnsi="Verdana" w:hint="default"/>
      </w:rPr>
    </w:lvl>
    <w:lvl w:ilvl="6" w:tplc="4532F29A" w:tentative="1">
      <w:start w:val="1"/>
      <w:numFmt w:val="bullet"/>
      <w:lvlText w:val="•"/>
      <w:lvlJc w:val="left"/>
      <w:pPr>
        <w:tabs>
          <w:tab w:val="num" w:pos="5040"/>
        </w:tabs>
        <w:ind w:left="5040" w:hanging="360"/>
      </w:pPr>
      <w:rPr>
        <w:rFonts w:ascii="Verdana" w:hAnsi="Verdana" w:hint="default"/>
      </w:rPr>
    </w:lvl>
    <w:lvl w:ilvl="7" w:tplc="AE0A6BAC" w:tentative="1">
      <w:start w:val="1"/>
      <w:numFmt w:val="bullet"/>
      <w:lvlText w:val="•"/>
      <w:lvlJc w:val="left"/>
      <w:pPr>
        <w:tabs>
          <w:tab w:val="num" w:pos="5760"/>
        </w:tabs>
        <w:ind w:left="5760" w:hanging="360"/>
      </w:pPr>
      <w:rPr>
        <w:rFonts w:ascii="Verdana" w:hAnsi="Verdana" w:hint="default"/>
      </w:rPr>
    </w:lvl>
    <w:lvl w:ilvl="8" w:tplc="10BECD32"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4947B8A"/>
    <w:multiLevelType w:val="hybridMultilevel"/>
    <w:tmpl w:val="4D7E290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EA018F7"/>
    <w:multiLevelType w:val="hybridMultilevel"/>
    <w:tmpl w:val="F8EC3F8C"/>
    <w:lvl w:ilvl="0" w:tplc="4128244E">
      <w:start w:val="1"/>
      <w:numFmt w:val="bullet"/>
      <w:lvlText w:val="•"/>
      <w:lvlJc w:val="left"/>
      <w:pPr>
        <w:tabs>
          <w:tab w:val="num" w:pos="360"/>
        </w:tabs>
        <w:ind w:left="360" w:hanging="360"/>
      </w:pPr>
      <w:rPr>
        <w:rFonts w:ascii="Verdana" w:hAnsi="Verdana" w:hint="default"/>
      </w:rPr>
    </w:lvl>
    <w:lvl w:ilvl="1" w:tplc="3D32F0B8" w:tentative="1">
      <w:start w:val="1"/>
      <w:numFmt w:val="bullet"/>
      <w:lvlText w:val="•"/>
      <w:lvlJc w:val="left"/>
      <w:pPr>
        <w:tabs>
          <w:tab w:val="num" w:pos="1080"/>
        </w:tabs>
        <w:ind w:left="1080" w:hanging="360"/>
      </w:pPr>
      <w:rPr>
        <w:rFonts w:ascii="Verdana" w:hAnsi="Verdana" w:hint="default"/>
      </w:rPr>
    </w:lvl>
    <w:lvl w:ilvl="2" w:tplc="5C4EA104" w:tentative="1">
      <w:start w:val="1"/>
      <w:numFmt w:val="bullet"/>
      <w:lvlText w:val="•"/>
      <w:lvlJc w:val="left"/>
      <w:pPr>
        <w:tabs>
          <w:tab w:val="num" w:pos="1800"/>
        </w:tabs>
        <w:ind w:left="1800" w:hanging="360"/>
      </w:pPr>
      <w:rPr>
        <w:rFonts w:ascii="Verdana" w:hAnsi="Verdana" w:hint="default"/>
      </w:rPr>
    </w:lvl>
    <w:lvl w:ilvl="3" w:tplc="A3C692FE" w:tentative="1">
      <w:start w:val="1"/>
      <w:numFmt w:val="bullet"/>
      <w:lvlText w:val="•"/>
      <w:lvlJc w:val="left"/>
      <w:pPr>
        <w:tabs>
          <w:tab w:val="num" w:pos="2520"/>
        </w:tabs>
        <w:ind w:left="2520" w:hanging="360"/>
      </w:pPr>
      <w:rPr>
        <w:rFonts w:ascii="Verdana" w:hAnsi="Verdana" w:hint="default"/>
      </w:rPr>
    </w:lvl>
    <w:lvl w:ilvl="4" w:tplc="C21AF8A0" w:tentative="1">
      <w:start w:val="1"/>
      <w:numFmt w:val="bullet"/>
      <w:lvlText w:val="•"/>
      <w:lvlJc w:val="left"/>
      <w:pPr>
        <w:tabs>
          <w:tab w:val="num" w:pos="3240"/>
        </w:tabs>
        <w:ind w:left="3240" w:hanging="360"/>
      </w:pPr>
      <w:rPr>
        <w:rFonts w:ascii="Verdana" w:hAnsi="Verdana" w:hint="default"/>
      </w:rPr>
    </w:lvl>
    <w:lvl w:ilvl="5" w:tplc="B71673B8" w:tentative="1">
      <w:start w:val="1"/>
      <w:numFmt w:val="bullet"/>
      <w:lvlText w:val="•"/>
      <w:lvlJc w:val="left"/>
      <w:pPr>
        <w:tabs>
          <w:tab w:val="num" w:pos="3960"/>
        </w:tabs>
        <w:ind w:left="3960" w:hanging="360"/>
      </w:pPr>
      <w:rPr>
        <w:rFonts w:ascii="Verdana" w:hAnsi="Verdana" w:hint="default"/>
      </w:rPr>
    </w:lvl>
    <w:lvl w:ilvl="6" w:tplc="EBB87760" w:tentative="1">
      <w:start w:val="1"/>
      <w:numFmt w:val="bullet"/>
      <w:lvlText w:val="•"/>
      <w:lvlJc w:val="left"/>
      <w:pPr>
        <w:tabs>
          <w:tab w:val="num" w:pos="4680"/>
        </w:tabs>
        <w:ind w:left="4680" w:hanging="360"/>
      </w:pPr>
      <w:rPr>
        <w:rFonts w:ascii="Verdana" w:hAnsi="Verdana" w:hint="default"/>
      </w:rPr>
    </w:lvl>
    <w:lvl w:ilvl="7" w:tplc="2ECE2148" w:tentative="1">
      <w:start w:val="1"/>
      <w:numFmt w:val="bullet"/>
      <w:lvlText w:val="•"/>
      <w:lvlJc w:val="left"/>
      <w:pPr>
        <w:tabs>
          <w:tab w:val="num" w:pos="5400"/>
        </w:tabs>
        <w:ind w:left="5400" w:hanging="360"/>
      </w:pPr>
      <w:rPr>
        <w:rFonts w:ascii="Verdana" w:hAnsi="Verdana" w:hint="default"/>
      </w:rPr>
    </w:lvl>
    <w:lvl w:ilvl="8" w:tplc="23889596" w:tentative="1">
      <w:start w:val="1"/>
      <w:numFmt w:val="bullet"/>
      <w:lvlText w:val="•"/>
      <w:lvlJc w:val="left"/>
      <w:pPr>
        <w:tabs>
          <w:tab w:val="num" w:pos="6120"/>
        </w:tabs>
        <w:ind w:left="6120" w:hanging="360"/>
      </w:pPr>
      <w:rPr>
        <w:rFonts w:ascii="Verdana" w:hAnsi="Verdana" w:hint="default"/>
      </w:rPr>
    </w:lvl>
  </w:abstractNum>
  <w:abstractNum w:abstractNumId="5" w15:restartNumberingAfterBreak="0">
    <w:nsid w:val="57326771"/>
    <w:multiLevelType w:val="hybridMultilevel"/>
    <w:tmpl w:val="463848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7D23406"/>
    <w:multiLevelType w:val="hybridMultilevel"/>
    <w:tmpl w:val="2000E634"/>
    <w:lvl w:ilvl="0" w:tplc="F4DA056A">
      <w:start w:val="1"/>
      <w:numFmt w:val="bullet"/>
      <w:lvlText w:val="•"/>
      <w:lvlJc w:val="left"/>
      <w:pPr>
        <w:tabs>
          <w:tab w:val="num" w:pos="360"/>
        </w:tabs>
        <w:ind w:left="360" w:hanging="360"/>
      </w:pPr>
      <w:rPr>
        <w:rFonts w:ascii="Verdana" w:hAnsi="Verdana" w:hint="default"/>
      </w:rPr>
    </w:lvl>
    <w:lvl w:ilvl="1" w:tplc="32CE6E74">
      <w:start w:val="1"/>
      <w:numFmt w:val="bullet"/>
      <w:lvlText w:val="•"/>
      <w:lvlJc w:val="left"/>
      <w:pPr>
        <w:tabs>
          <w:tab w:val="num" w:pos="1080"/>
        </w:tabs>
        <w:ind w:left="1080" w:hanging="360"/>
      </w:pPr>
      <w:rPr>
        <w:rFonts w:ascii="Verdana" w:hAnsi="Verdana" w:hint="default"/>
      </w:rPr>
    </w:lvl>
    <w:lvl w:ilvl="2" w:tplc="B04A7AFC" w:tentative="1">
      <w:start w:val="1"/>
      <w:numFmt w:val="bullet"/>
      <w:lvlText w:val="•"/>
      <w:lvlJc w:val="left"/>
      <w:pPr>
        <w:tabs>
          <w:tab w:val="num" w:pos="1800"/>
        </w:tabs>
        <w:ind w:left="1800" w:hanging="360"/>
      </w:pPr>
      <w:rPr>
        <w:rFonts w:ascii="Verdana" w:hAnsi="Verdana" w:hint="default"/>
      </w:rPr>
    </w:lvl>
    <w:lvl w:ilvl="3" w:tplc="BB4E16D2" w:tentative="1">
      <w:start w:val="1"/>
      <w:numFmt w:val="bullet"/>
      <w:lvlText w:val="•"/>
      <w:lvlJc w:val="left"/>
      <w:pPr>
        <w:tabs>
          <w:tab w:val="num" w:pos="2520"/>
        </w:tabs>
        <w:ind w:left="2520" w:hanging="360"/>
      </w:pPr>
      <w:rPr>
        <w:rFonts w:ascii="Verdana" w:hAnsi="Verdana" w:hint="default"/>
      </w:rPr>
    </w:lvl>
    <w:lvl w:ilvl="4" w:tplc="B370807E" w:tentative="1">
      <w:start w:val="1"/>
      <w:numFmt w:val="bullet"/>
      <w:lvlText w:val="•"/>
      <w:lvlJc w:val="left"/>
      <w:pPr>
        <w:tabs>
          <w:tab w:val="num" w:pos="3240"/>
        </w:tabs>
        <w:ind w:left="3240" w:hanging="360"/>
      </w:pPr>
      <w:rPr>
        <w:rFonts w:ascii="Verdana" w:hAnsi="Verdana" w:hint="default"/>
      </w:rPr>
    </w:lvl>
    <w:lvl w:ilvl="5" w:tplc="C8304C6A" w:tentative="1">
      <w:start w:val="1"/>
      <w:numFmt w:val="bullet"/>
      <w:lvlText w:val="•"/>
      <w:lvlJc w:val="left"/>
      <w:pPr>
        <w:tabs>
          <w:tab w:val="num" w:pos="3960"/>
        </w:tabs>
        <w:ind w:left="3960" w:hanging="360"/>
      </w:pPr>
      <w:rPr>
        <w:rFonts w:ascii="Verdana" w:hAnsi="Verdana" w:hint="default"/>
      </w:rPr>
    </w:lvl>
    <w:lvl w:ilvl="6" w:tplc="0630AE40" w:tentative="1">
      <w:start w:val="1"/>
      <w:numFmt w:val="bullet"/>
      <w:lvlText w:val="•"/>
      <w:lvlJc w:val="left"/>
      <w:pPr>
        <w:tabs>
          <w:tab w:val="num" w:pos="4680"/>
        </w:tabs>
        <w:ind w:left="4680" w:hanging="360"/>
      </w:pPr>
      <w:rPr>
        <w:rFonts w:ascii="Verdana" w:hAnsi="Verdana" w:hint="default"/>
      </w:rPr>
    </w:lvl>
    <w:lvl w:ilvl="7" w:tplc="6A0E2F7E" w:tentative="1">
      <w:start w:val="1"/>
      <w:numFmt w:val="bullet"/>
      <w:lvlText w:val="•"/>
      <w:lvlJc w:val="left"/>
      <w:pPr>
        <w:tabs>
          <w:tab w:val="num" w:pos="5400"/>
        </w:tabs>
        <w:ind w:left="5400" w:hanging="360"/>
      </w:pPr>
      <w:rPr>
        <w:rFonts w:ascii="Verdana" w:hAnsi="Verdana" w:hint="default"/>
      </w:rPr>
    </w:lvl>
    <w:lvl w:ilvl="8" w:tplc="52E8056C" w:tentative="1">
      <w:start w:val="1"/>
      <w:numFmt w:val="bullet"/>
      <w:lvlText w:val="•"/>
      <w:lvlJc w:val="left"/>
      <w:pPr>
        <w:tabs>
          <w:tab w:val="num" w:pos="6120"/>
        </w:tabs>
        <w:ind w:left="6120" w:hanging="360"/>
      </w:pPr>
      <w:rPr>
        <w:rFonts w:ascii="Verdana" w:hAnsi="Verdana" w:hint="default"/>
      </w:rPr>
    </w:lvl>
  </w:abstractNum>
  <w:abstractNum w:abstractNumId="7" w15:restartNumberingAfterBreak="0">
    <w:nsid w:val="6F862FD7"/>
    <w:multiLevelType w:val="hybridMultilevel"/>
    <w:tmpl w:val="1292E3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5D"/>
    <w:rsid w:val="00026EA0"/>
    <w:rsid w:val="00087066"/>
    <w:rsid w:val="001C2FF4"/>
    <w:rsid w:val="0020615A"/>
    <w:rsid w:val="00373F0B"/>
    <w:rsid w:val="003A03FE"/>
    <w:rsid w:val="0041602B"/>
    <w:rsid w:val="00416CDA"/>
    <w:rsid w:val="00454EA1"/>
    <w:rsid w:val="00487DAD"/>
    <w:rsid w:val="0049719C"/>
    <w:rsid w:val="00506CC8"/>
    <w:rsid w:val="00556539"/>
    <w:rsid w:val="0058246E"/>
    <w:rsid w:val="00595682"/>
    <w:rsid w:val="005C2E2D"/>
    <w:rsid w:val="005E12E9"/>
    <w:rsid w:val="00752C6A"/>
    <w:rsid w:val="007902BD"/>
    <w:rsid w:val="008504C7"/>
    <w:rsid w:val="0090785D"/>
    <w:rsid w:val="00923499"/>
    <w:rsid w:val="009630A3"/>
    <w:rsid w:val="00A06949"/>
    <w:rsid w:val="00A14AE0"/>
    <w:rsid w:val="00A44286"/>
    <w:rsid w:val="00A522A4"/>
    <w:rsid w:val="00AE27C7"/>
    <w:rsid w:val="00B377E3"/>
    <w:rsid w:val="00BF177A"/>
    <w:rsid w:val="00C34B7B"/>
    <w:rsid w:val="00C84EF5"/>
    <w:rsid w:val="00CC3026"/>
    <w:rsid w:val="00D80312"/>
    <w:rsid w:val="00D81B09"/>
    <w:rsid w:val="00E872F7"/>
    <w:rsid w:val="00EA579C"/>
    <w:rsid w:val="00EB59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3FED"/>
  <w15:chartTrackingRefBased/>
  <w15:docId w15:val="{1A1ED95E-28FB-472B-ADEE-8E1E134B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12"/>
    <w:rPr>
      <w:rFonts w:ascii="Bookman Old Style" w:hAnsi="Bookman Old Style"/>
      <w:sz w:val="20"/>
    </w:rPr>
  </w:style>
  <w:style w:type="paragraph" w:styleId="Overskrift1">
    <w:name w:val="heading 1"/>
    <w:basedOn w:val="Normal"/>
    <w:next w:val="Normal"/>
    <w:link w:val="Overskrift1Tegn"/>
    <w:uiPriority w:val="9"/>
    <w:qFormat/>
    <w:rsid w:val="00D80312"/>
    <w:pPr>
      <w:keepNext/>
      <w:keepLines/>
      <w:spacing w:before="240" w:after="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556539"/>
    <w:pPr>
      <w:keepNext/>
      <w:keepLines/>
      <w:spacing w:before="40" w:after="0"/>
      <w:outlineLvl w:val="1"/>
    </w:pPr>
    <w:rPr>
      <w:rFonts w:ascii="Arial" w:eastAsiaTheme="majorEastAsia" w:hAnsi="Arial" w:cs="Arial"/>
      <w:b/>
      <w:szCs w:val="26"/>
    </w:rPr>
  </w:style>
  <w:style w:type="paragraph" w:styleId="Overskrift3">
    <w:name w:val="heading 3"/>
    <w:basedOn w:val="Overskrift2"/>
    <w:next w:val="Normal"/>
    <w:link w:val="Overskrift3Tegn"/>
    <w:uiPriority w:val="9"/>
    <w:unhideWhenUsed/>
    <w:qFormat/>
    <w:rsid w:val="00556539"/>
    <w:pPr>
      <w:outlineLvl w:val="2"/>
    </w:pPr>
    <w:rPr>
      <w:b w:val="0"/>
      <w: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80312"/>
    <w:rPr>
      <w:rFonts w:ascii="Bookman Old Style" w:eastAsiaTheme="majorEastAsia" w:hAnsi="Bookman Old Style" w:cstheme="majorBidi"/>
      <w:b/>
      <w:sz w:val="28"/>
      <w:szCs w:val="32"/>
    </w:rPr>
  </w:style>
  <w:style w:type="character" w:customStyle="1" w:styleId="Overskrift2Tegn">
    <w:name w:val="Overskrift 2 Tegn"/>
    <w:basedOn w:val="Standardskrifttypeiafsnit"/>
    <w:link w:val="Overskrift2"/>
    <w:uiPriority w:val="9"/>
    <w:rsid w:val="00556539"/>
    <w:rPr>
      <w:rFonts w:ascii="Arial" w:eastAsiaTheme="majorEastAsia" w:hAnsi="Arial" w:cs="Arial"/>
      <w:b/>
      <w:sz w:val="20"/>
      <w:szCs w:val="26"/>
    </w:rPr>
  </w:style>
  <w:style w:type="character" w:styleId="Hyperlink">
    <w:name w:val="Hyperlink"/>
    <w:basedOn w:val="Standardskrifttypeiafsnit"/>
    <w:uiPriority w:val="99"/>
    <w:unhideWhenUsed/>
    <w:rsid w:val="0090785D"/>
    <w:rPr>
      <w:color w:val="0000FF"/>
      <w:u w:val="single"/>
    </w:rPr>
  </w:style>
  <w:style w:type="character" w:styleId="BesgtLink">
    <w:name w:val="FollowedHyperlink"/>
    <w:basedOn w:val="Standardskrifttypeiafsnit"/>
    <w:uiPriority w:val="99"/>
    <w:semiHidden/>
    <w:unhideWhenUsed/>
    <w:rsid w:val="00C34B7B"/>
    <w:rPr>
      <w:color w:val="954F72" w:themeColor="followedHyperlink"/>
      <w:u w:val="single"/>
    </w:rPr>
  </w:style>
  <w:style w:type="character" w:styleId="Ulstomtale">
    <w:name w:val="Unresolved Mention"/>
    <w:basedOn w:val="Standardskrifttypeiafsnit"/>
    <w:uiPriority w:val="99"/>
    <w:semiHidden/>
    <w:unhideWhenUsed/>
    <w:rsid w:val="00C34B7B"/>
    <w:rPr>
      <w:color w:val="605E5C"/>
      <w:shd w:val="clear" w:color="auto" w:fill="E1DFDD"/>
    </w:rPr>
  </w:style>
  <w:style w:type="paragraph" w:styleId="Listeafsnit">
    <w:name w:val="List Paragraph"/>
    <w:basedOn w:val="Normal"/>
    <w:uiPriority w:val="34"/>
    <w:qFormat/>
    <w:rsid w:val="005C2E2D"/>
    <w:pPr>
      <w:ind w:left="720"/>
      <w:contextualSpacing/>
    </w:pPr>
  </w:style>
  <w:style w:type="character" w:styleId="Kommentarhenvisning">
    <w:name w:val="annotation reference"/>
    <w:basedOn w:val="Standardskrifttypeiafsnit"/>
    <w:uiPriority w:val="99"/>
    <w:semiHidden/>
    <w:unhideWhenUsed/>
    <w:rsid w:val="0049719C"/>
    <w:rPr>
      <w:sz w:val="16"/>
      <w:szCs w:val="16"/>
    </w:rPr>
  </w:style>
  <w:style w:type="paragraph" w:styleId="Kommentartekst">
    <w:name w:val="annotation text"/>
    <w:basedOn w:val="Normal"/>
    <w:link w:val="KommentartekstTegn"/>
    <w:uiPriority w:val="99"/>
    <w:semiHidden/>
    <w:unhideWhenUsed/>
    <w:rsid w:val="0049719C"/>
    <w:pPr>
      <w:spacing w:line="240" w:lineRule="auto"/>
    </w:pPr>
    <w:rPr>
      <w:szCs w:val="20"/>
    </w:rPr>
  </w:style>
  <w:style w:type="character" w:customStyle="1" w:styleId="KommentartekstTegn">
    <w:name w:val="Kommentartekst Tegn"/>
    <w:basedOn w:val="Standardskrifttypeiafsnit"/>
    <w:link w:val="Kommentartekst"/>
    <w:uiPriority w:val="99"/>
    <w:semiHidden/>
    <w:rsid w:val="0049719C"/>
    <w:rPr>
      <w:rFonts w:ascii="Bookman Old Style" w:hAnsi="Bookman Old Style"/>
      <w:sz w:val="20"/>
      <w:szCs w:val="20"/>
    </w:rPr>
  </w:style>
  <w:style w:type="paragraph" w:styleId="Kommentaremne">
    <w:name w:val="annotation subject"/>
    <w:basedOn w:val="Kommentartekst"/>
    <w:next w:val="Kommentartekst"/>
    <w:link w:val="KommentaremneTegn"/>
    <w:uiPriority w:val="99"/>
    <w:semiHidden/>
    <w:unhideWhenUsed/>
    <w:rsid w:val="0049719C"/>
    <w:rPr>
      <w:b/>
      <w:bCs/>
    </w:rPr>
  </w:style>
  <w:style w:type="character" w:customStyle="1" w:styleId="KommentaremneTegn">
    <w:name w:val="Kommentaremne Tegn"/>
    <w:basedOn w:val="KommentartekstTegn"/>
    <w:link w:val="Kommentaremne"/>
    <w:uiPriority w:val="99"/>
    <w:semiHidden/>
    <w:rsid w:val="0049719C"/>
    <w:rPr>
      <w:rFonts w:ascii="Bookman Old Style" w:hAnsi="Bookman Old Style"/>
      <w:b/>
      <w:bCs/>
      <w:sz w:val="20"/>
      <w:szCs w:val="20"/>
    </w:rPr>
  </w:style>
  <w:style w:type="paragraph" w:styleId="Markeringsbobletekst">
    <w:name w:val="Balloon Text"/>
    <w:basedOn w:val="Normal"/>
    <w:link w:val="MarkeringsbobletekstTegn"/>
    <w:uiPriority w:val="99"/>
    <w:semiHidden/>
    <w:unhideWhenUsed/>
    <w:rsid w:val="004971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719C"/>
    <w:rPr>
      <w:rFonts w:ascii="Segoe UI" w:hAnsi="Segoe UI" w:cs="Segoe UI"/>
      <w:sz w:val="18"/>
      <w:szCs w:val="18"/>
    </w:rPr>
  </w:style>
  <w:style w:type="character" w:customStyle="1" w:styleId="Overskrift3Tegn">
    <w:name w:val="Overskrift 3 Tegn"/>
    <w:basedOn w:val="Standardskrifttypeiafsnit"/>
    <w:link w:val="Overskrift3"/>
    <w:uiPriority w:val="9"/>
    <w:rsid w:val="00556539"/>
    <w:rPr>
      <w:rFonts w:ascii="Arial" w:eastAsiaTheme="majorEastAsia" w:hAnsi="Arial" w:cs="Arial"/>
      <w:i/>
      <w:sz w:val="20"/>
      <w:szCs w:val="26"/>
      <w:u w:val="single"/>
    </w:rPr>
  </w:style>
  <w:style w:type="paragraph" w:styleId="Sidehoved">
    <w:name w:val="header"/>
    <w:basedOn w:val="Normal"/>
    <w:link w:val="SidehovedTegn"/>
    <w:uiPriority w:val="99"/>
    <w:unhideWhenUsed/>
    <w:rsid w:val="00416C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6CDA"/>
    <w:rPr>
      <w:rFonts w:ascii="Bookman Old Style" w:hAnsi="Bookman Old Style"/>
      <w:sz w:val="20"/>
    </w:rPr>
  </w:style>
  <w:style w:type="paragraph" w:styleId="Sidefod">
    <w:name w:val="footer"/>
    <w:basedOn w:val="Normal"/>
    <w:link w:val="SidefodTegn"/>
    <w:uiPriority w:val="99"/>
    <w:unhideWhenUsed/>
    <w:rsid w:val="00416C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6CDA"/>
    <w:rPr>
      <w:rFonts w:ascii="Bookman Old Style" w:hAnsi="Bookman Old Sty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9859">
      <w:bodyDiv w:val="1"/>
      <w:marLeft w:val="0"/>
      <w:marRight w:val="0"/>
      <w:marTop w:val="0"/>
      <w:marBottom w:val="0"/>
      <w:divBdr>
        <w:top w:val="none" w:sz="0" w:space="0" w:color="auto"/>
        <w:left w:val="none" w:sz="0" w:space="0" w:color="auto"/>
        <w:bottom w:val="none" w:sz="0" w:space="0" w:color="auto"/>
        <w:right w:val="none" w:sz="0" w:space="0" w:color="auto"/>
      </w:divBdr>
      <w:divsChild>
        <w:div w:id="2130198818">
          <w:marLeft w:val="418"/>
          <w:marRight w:val="0"/>
          <w:marTop w:val="60"/>
          <w:marBottom w:val="60"/>
          <w:divBdr>
            <w:top w:val="none" w:sz="0" w:space="0" w:color="auto"/>
            <w:left w:val="none" w:sz="0" w:space="0" w:color="auto"/>
            <w:bottom w:val="none" w:sz="0" w:space="0" w:color="auto"/>
            <w:right w:val="none" w:sz="0" w:space="0" w:color="auto"/>
          </w:divBdr>
        </w:div>
        <w:div w:id="285085889">
          <w:marLeft w:val="418"/>
          <w:marRight w:val="0"/>
          <w:marTop w:val="60"/>
          <w:marBottom w:val="60"/>
          <w:divBdr>
            <w:top w:val="none" w:sz="0" w:space="0" w:color="auto"/>
            <w:left w:val="none" w:sz="0" w:space="0" w:color="auto"/>
            <w:bottom w:val="none" w:sz="0" w:space="0" w:color="auto"/>
            <w:right w:val="none" w:sz="0" w:space="0" w:color="auto"/>
          </w:divBdr>
        </w:div>
        <w:div w:id="1298532511">
          <w:marLeft w:val="418"/>
          <w:marRight w:val="0"/>
          <w:marTop w:val="60"/>
          <w:marBottom w:val="60"/>
          <w:divBdr>
            <w:top w:val="none" w:sz="0" w:space="0" w:color="auto"/>
            <w:left w:val="none" w:sz="0" w:space="0" w:color="auto"/>
            <w:bottom w:val="none" w:sz="0" w:space="0" w:color="auto"/>
            <w:right w:val="none" w:sz="0" w:space="0" w:color="auto"/>
          </w:divBdr>
        </w:div>
        <w:div w:id="217934855">
          <w:marLeft w:val="850"/>
          <w:marRight w:val="0"/>
          <w:marTop w:val="60"/>
          <w:marBottom w:val="60"/>
          <w:divBdr>
            <w:top w:val="none" w:sz="0" w:space="0" w:color="auto"/>
            <w:left w:val="none" w:sz="0" w:space="0" w:color="auto"/>
            <w:bottom w:val="none" w:sz="0" w:space="0" w:color="auto"/>
            <w:right w:val="none" w:sz="0" w:space="0" w:color="auto"/>
          </w:divBdr>
        </w:div>
        <w:div w:id="592132263">
          <w:marLeft w:val="418"/>
          <w:marRight w:val="0"/>
          <w:marTop w:val="60"/>
          <w:marBottom w:val="60"/>
          <w:divBdr>
            <w:top w:val="none" w:sz="0" w:space="0" w:color="auto"/>
            <w:left w:val="none" w:sz="0" w:space="0" w:color="auto"/>
            <w:bottom w:val="none" w:sz="0" w:space="0" w:color="auto"/>
            <w:right w:val="none" w:sz="0" w:space="0" w:color="auto"/>
          </w:divBdr>
        </w:div>
        <w:div w:id="396976105">
          <w:marLeft w:val="850"/>
          <w:marRight w:val="0"/>
          <w:marTop w:val="60"/>
          <w:marBottom w:val="60"/>
          <w:divBdr>
            <w:top w:val="none" w:sz="0" w:space="0" w:color="auto"/>
            <w:left w:val="none" w:sz="0" w:space="0" w:color="auto"/>
            <w:bottom w:val="none" w:sz="0" w:space="0" w:color="auto"/>
            <w:right w:val="none" w:sz="0" w:space="0" w:color="auto"/>
          </w:divBdr>
        </w:div>
      </w:divsChild>
    </w:div>
    <w:div w:id="149103332">
      <w:bodyDiv w:val="1"/>
      <w:marLeft w:val="0"/>
      <w:marRight w:val="0"/>
      <w:marTop w:val="0"/>
      <w:marBottom w:val="0"/>
      <w:divBdr>
        <w:top w:val="none" w:sz="0" w:space="0" w:color="auto"/>
        <w:left w:val="none" w:sz="0" w:space="0" w:color="auto"/>
        <w:bottom w:val="none" w:sz="0" w:space="0" w:color="auto"/>
        <w:right w:val="none" w:sz="0" w:space="0" w:color="auto"/>
      </w:divBdr>
      <w:divsChild>
        <w:div w:id="877738970">
          <w:marLeft w:val="418"/>
          <w:marRight w:val="0"/>
          <w:marTop w:val="60"/>
          <w:marBottom w:val="60"/>
          <w:divBdr>
            <w:top w:val="none" w:sz="0" w:space="0" w:color="auto"/>
            <w:left w:val="none" w:sz="0" w:space="0" w:color="auto"/>
            <w:bottom w:val="none" w:sz="0" w:space="0" w:color="auto"/>
            <w:right w:val="none" w:sz="0" w:space="0" w:color="auto"/>
          </w:divBdr>
        </w:div>
        <w:div w:id="105198458">
          <w:marLeft w:val="418"/>
          <w:marRight w:val="0"/>
          <w:marTop w:val="60"/>
          <w:marBottom w:val="60"/>
          <w:divBdr>
            <w:top w:val="none" w:sz="0" w:space="0" w:color="auto"/>
            <w:left w:val="none" w:sz="0" w:space="0" w:color="auto"/>
            <w:bottom w:val="none" w:sz="0" w:space="0" w:color="auto"/>
            <w:right w:val="none" w:sz="0" w:space="0" w:color="auto"/>
          </w:divBdr>
        </w:div>
        <w:div w:id="1717970336">
          <w:marLeft w:val="418"/>
          <w:marRight w:val="0"/>
          <w:marTop w:val="60"/>
          <w:marBottom w:val="60"/>
          <w:divBdr>
            <w:top w:val="none" w:sz="0" w:space="0" w:color="auto"/>
            <w:left w:val="none" w:sz="0" w:space="0" w:color="auto"/>
            <w:bottom w:val="none" w:sz="0" w:space="0" w:color="auto"/>
            <w:right w:val="none" w:sz="0" w:space="0" w:color="auto"/>
          </w:divBdr>
        </w:div>
      </w:divsChild>
    </w:div>
    <w:div w:id="1292175591">
      <w:bodyDiv w:val="1"/>
      <w:marLeft w:val="0"/>
      <w:marRight w:val="0"/>
      <w:marTop w:val="0"/>
      <w:marBottom w:val="0"/>
      <w:divBdr>
        <w:top w:val="none" w:sz="0" w:space="0" w:color="auto"/>
        <w:left w:val="none" w:sz="0" w:space="0" w:color="auto"/>
        <w:bottom w:val="none" w:sz="0" w:space="0" w:color="auto"/>
        <w:right w:val="none" w:sz="0" w:space="0" w:color="auto"/>
      </w:divBdr>
      <w:divsChild>
        <w:div w:id="60562452">
          <w:marLeft w:val="418"/>
          <w:marRight w:val="0"/>
          <w:marTop w:val="60"/>
          <w:marBottom w:val="60"/>
          <w:divBdr>
            <w:top w:val="none" w:sz="0" w:space="0" w:color="auto"/>
            <w:left w:val="none" w:sz="0" w:space="0" w:color="auto"/>
            <w:bottom w:val="none" w:sz="0" w:space="0" w:color="auto"/>
            <w:right w:val="none" w:sz="0" w:space="0" w:color="auto"/>
          </w:divBdr>
        </w:div>
        <w:div w:id="1177190238">
          <w:marLeft w:val="418"/>
          <w:marRight w:val="0"/>
          <w:marTop w:val="60"/>
          <w:marBottom w:val="60"/>
          <w:divBdr>
            <w:top w:val="none" w:sz="0" w:space="0" w:color="auto"/>
            <w:left w:val="none" w:sz="0" w:space="0" w:color="auto"/>
            <w:bottom w:val="none" w:sz="0" w:space="0" w:color="auto"/>
            <w:right w:val="none" w:sz="0" w:space="0" w:color="auto"/>
          </w:divBdr>
        </w:div>
        <w:div w:id="563373357">
          <w:marLeft w:val="418"/>
          <w:marRight w:val="0"/>
          <w:marTop w:val="60"/>
          <w:marBottom w:val="60"/>
          <w:divBdr>
            <w:top w:val="none" w:sz="0" w:space="0" w:color="auto"/>
            <w:left w:val="none" w:sz="0" w:space="0" w:color="auto"/>
            <w:bottom w:val="none" w:sz="0" w:space="0" w:color="auto"/>
            <w:right w:val="none" w:sz="0" w:space="0" w:color="auto"/>
          </w:divBdr>
        </w:div>
        <w:div w:id="459736553">
          <w:marLeft w:val="418"/>
          <w:marRight w:val="0"/>
          <w:marTop w:val="60"/>
          <w:marBottom w:val="60"/>
          <w:divBdr>
            <w:top w:val="none" w:sz="0" w:space="0" w:color="auto"/>
            <w:left w:val="none" w:sz="0" w:space="0" w:color="auto"/>
            <w:bottom w:val="none" w:sz="0" w:space="0" w:color="auto"/>
            <w:right w:val="none" w:sz="0" w:space="0" w:color="auto"/>
          </w:divBdr>
        </w:div>
        <w:div w:id="644895114">
          <w:marLeft w:val="418"/>
          <w:marRight w:val="0"/>
          <w:marTop w:val="60"/>
          <w:marBottom w:val="60"/>
          <w:divBdr>
            <w:top w:val="none" w:sz="0" w:space="0" w:color="auto"/>
            <w:left w:val="none" w:sz="0" w:space="0" w:color="auto"/>
            <w:bottom w:val="none" w:sz="0" w:space="0" w:color="auto"/>
            <w:right w:val="none" w:sz="0" w:space="0" w:color="auto"/>
          </w:divBdr>
        </w:div>
      </w:divsChild>
    </w:div>
    <w:div w:id="1920946214">
      <w:bodyDiv w:val="1"/>
      <w:marLeft w:val="0"/>
      <w:marRight w:val="0"/>
      <w:marTop w:val="0"/>
      <w:marBottom w:val="0"/>
      <w:divBdr>
        <w:top w:val="none" w:sz="0" w:space="0" w:color="auto"/>
        <w:left w:val="none" w:sz="0" w:space="0" w:color="auto"/>
        <w:bottom w:val="none" w:sz="0" w:space="0" w:color="auto"/>
        <w:right w:val="none" w:sz="0" w:space="0" w:color="auto"/>
      </w:divBdr>
      <w:divsChild>
        <w:div w:id="416365675">
          <w:marLeft w:val="418"/>
          <w:marRight w:val="0"/>
          <w:marTop w:val="60"/>
          <w:marBottom w:val="60"/>
          <w:divBdr>
            <w:top w:val="none" w:sz="0" w:space="0" w:color="auto"/>
            <w:left w:val="none" w:sz="0" w:space="0" w:color="auto"/>
            <w:bottom w:val="none" w:sz="0" w:space="0" w:color="auto"/>
            <w:right w:val="none" w:sz="0" w:space="0" w:color="auto"/>
          </w:divBdr>
        </w:div>
        <w:div w:id="1123576353">
          <w:marLeft w:val="418"/>
          <w:marRight w:val="0"/>
          <w:marTop w:val="60"/>
          <w:marBottom w:val="60"/>
          <w:divBdr>
            <w:top w:val="none" w:sz="0" w:space="0" w:color="auto"/>
            <w:left w:val="none" w:sz="0" w:space="0" w:color="auto"/>
            <w:bottom w:val="none" w:sz="0" w:space="0" w:color="auto"/>
            <w:right w:val="none" w:sz="0" w:space="0" w:color="auto"/>
          </w:divBdr>
        </w:div>
        <w:div w:id="299579176">
          <w:marLeft w:val="418"/>
          <w:marRight w:val="0"/>
          <w:marTop w:val="60"/>
          <w:marBottom w:val="60"/>
          <w:divBdr>
            <w:top w:val="none" w:sz="0" w:space="0" w:color="auto"/>
            <w:left w:val="none" w:sz="0" w:space="0" w:color="auto"/>
            <w:bottom w:val="none" w:sz="0" w:space="0" w:color="auto"/>
            <w:right w:val="none" w:sz="0" w:space="0" w:color="auto"/>
          </w:divBdr>
        </w:div>
        <w:div w:id="1482382996">
          <w:marLeft w:val="418"/>
          <w:marRight w:val="0"/>
          <w:marTop w:val="60"/>
          <w:marBottom w:val="60"/>
          <w:divBdr>
            <w:top w:val="none" w:sz="0" w:space="0" w:color="auto"/>
            <w:left w:val="none" w:sz="0" w:space="0" w:color="auto"/>
            <w:bottom w:val="none" w:sz="0" w:space="0" w:color="auto"/>
            <w:right w:val="none" w:sz="0" w:space="0" w:color="auto"/>
          </w:divBdr>
        </w:div>
        <w:div w:id="383676390">
          <w:marLeft w:val="418"/>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pdfPrint.aspx?id=205281" TargetMode="External"/><Relationship Id="rId13" Type="http://schemas.openxmlformats.org/officeDocument/2006/relationships/hyperlink" Target="https://www.retsinformation.dk/pdfPrint.aspx?id=134520" TargetMode="External"/><Relationship Id="rId18" Type="http://schemas.openxmlformats.org/officeDocument/2006/relationships/hyperlink" Target="https://laegemiddelstyrelsen.dk/da/bivirkninger/bivirkninger-ved-medicin/meld-en-bivirkning/mennesker/meld-en-bivirkning-ved-medicin-til-mennesker-for-sundhedsprofessionelle-e-blanket/" TargetMode="External"/><Relationship Id="rId26" Type="http://schemas.openxmlformats.org/officeDocument/2006/relationships/hyperlink" Target="https://www.sst.dk/da/rationel-farmakoterapi/maanedsbladet/2015/rationel-farmakoterapi-11,-2015/behandling-med-protonpumpehaemmere" TargetMode="External"/><Relationship Id="rId39" Type="http://schemas.openxmlformats.org/officeDocument/2006/relationships/hyperlink" Target="https://vejledninger.dsam.dk/kol" TargetMode="External"/><Relationship Id="rId3" Type="http://schemas.openxmlformats.org/officeDocument/2006/relationships/settings" Target="settings.xml"/><Relationship Id="rId21" Type="http://schemas.openxmlformats.org/officeDocument/2006/relationships/hyperlink" Target="https://pro.medicin.dk/Specielleemner/Emner/318717" TargetMode="External"/><Relationship Id="rId34" Type="http://schemas.openxmlformats.org/officeDocument/2006/relationships/hyperlink" Target="http://dds.nu/wp-content/uploads/2014/04/ad-guidelines.pdf" TargetMode="External"/><Relationship Id="rId42" Type="http://schemas.openxmlformats.org/officeDocument/2006/relationships/footer" Target="footer1.xml"/><Relationship Id="rId7" Type="http://schemas.openxmlformats.org/officeDocument/2006/relationships/hyperlink" Target="https://www.retsinformation.dk/pdfPrint.aspx?id=208085" TargetMode="External"/><Relationship Id="rId12" Type="http://schemas.openxmlformats.org/officeDocument/2006/relationships/hyperlink" Target="https://www.retsinformation.dk/Forms/R0710.aspx?id=21076" TargetMode="External"/><Relationship Id="rId17" Type="http://schemas.openxmlformats.org/officeDocument/2006/relationships/hyperlink" Target="https://www.retsinformation.dk/pdfPrint.aspx?id=205928" TargetMode="External"/><Relationship Id="rId25" Type="http://schemas.openxmlformats.org/officeDocument/2006/relationships/hyperlink" Target="https://sundhedsdatastyrelsen.dk/da/tal-og-analyser/analyser-og-rapporter/laegemidler/dosisdispenserede-laegemidler" TargetMode="External"/><Relationship Id="rId33" Type="http://schemas.openxmlformats.org/officeDocument/2006/relationships/hyperlink" Target="https://www.sst.dk/da/udgivelser/2016/~/media/B3730B725C404191AEF906B427391D99.ashx" TargetMode="External"/><Relationship Id="rId38" Type="http://schemas.openxmlformats.org/officeDocument/2006/relationships/hyperlink" Target="https://www.sst.dk/da/udgivelser/2015/nkr-hoefeber" TargetMode="External"/><Relationship Id="rId2" Type="http://schemas.openxmlformats.org/officeDocument/2006/relationships/styles" Target="styles.xml"/><Relationship Id="rId16" Type="http://schemas.openxmlformats.org/officeDocument/2006/relationships/hyperlink" Target="https://www.retsinformation.dk/pdfPrint.aspx?id=176092" TargetMode="External"/><Relationship Id="rId20" Type="http://schemas.openxmlformats.org/officeDocument/2006/relationships/hyperlink" Target="https://www.regionsjaelland.dk/Sundhed/for-fagfolk/efteruddannelse/CUK/Documents/akut/haandbog_i_sikker_mundtlig_kommunikation.ashx.pdf" TargetMode="External"/><Relationship Id="rId29" Type="http://schemas.openxmlformats.org/officeDocument/2006/relationships/hyperlink" Target="http://www.dahs.dk/fileadmin/user_upload/2013_opdateringer/opdateringer_2014/opdateringer_2015/behandlingsvejledning_2015_hoering.pdf" TargetMode="External"/><Relationship Id="rId41" Type="http://schemas.openxmlformats.org/officeDocument/2006/relationships/hyperlink" Target="https://www.lungemedicin.dk/fagligt/39-astma-behandl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pdfPrint.aspx?id=205950" TargetMode="External"/><Relationship Id="rId24" Type="http://schemas.openxmlformats.org/officeDocument/2006/relationships/hyperlink" Target="http://arkiv.patientsikkerhed.dk/media/563221/sikker_mundtlig_kommunikation_baggrund__begreber.pdf" TargetMode="External"/><Relationship Id="rId32" Type="http://schemas.openxmlformats.org/officeDocument/2006/relationships/hyperlink" Target="https://www.sst.dk/da/udgivelser/2016/~/media/8A7C8C59AD5249C2B433530466C1EDB6.ashx" TargetMode="External"/><Relationship Id="rId37" Type="http://schemas.openxmlformats.org/officeDocument/2006/relationships/hyperlink" Target="https://www.sst.dk/da/rationel-farmakoterapi/maanedsbladet/2019/~/media/ACDDCCD108DE41DC8FBDCFA68AB9EE1F.ashx" TargetMode="External"/><Relationship Id="rId40" Type="http://schemas.openxmlformats.org/officeDocument/2006/relationships/hyperlink" Target="https://www.sst.dk/da/rationel-farmakoterapi/rekommandationsliste/oversigt/luftveje/vedligeholdelsesbehandling-af-kronisk-obstruktiv-lungesygdom-kol-uden-astmakomponent" TargetMode="External"/><Relationship Id="rId5" Type="http://schemas.openxmlformats.org/officeDocument/2006/relationships/footnotes" Target="footnotes.xml"/><Relationship Id="rId15" Type="http://schemas.openxmlformats.org/officeDocument/2006/relationships/hyperlink" Target="https://www.retsinformation.dk/pdfPrint.aspx?id=134522" TargetMode="External"/><Relationship Id="rId23" Type="http://schemas.openxmlformats.org/officeDocument/2006/relationships/hyperlink" Target="https://www.medcom.dk/projekter/faelles-medicinkort-fmk/vejledninger" TargetMode="External"/><Relationship Id="rId28" Type="http://schemas.openxmlformats.org/officeDocument/2006/relationships/hyperlink" Target="http://www.endocrinology.dk/index.php/1-diabetes-mellitus/3-type-1-diabetes-mellitus" TargetMode="External"/><Relationship Id="rId36" Type="http://schemas.openxmlformats.org/officeDocument/2006/relationships/hyperlink" Target="https://www.sst.dk/da/rationel-farmakoterapi/rekommandationsliste/oversigt/endokrinologi/farmakologisk-behandling-af-primaer-osteoporose" TargetMode="External"/><Relationship Id="rId10" Type="http://schemas.openxmlformats.org/officeDocument/2006/relationships/hyperlink" Target="https://www.retsinformation.dk/pdfPrint.aspx?id=201378" TargetMode="External"/><Relationship Id="rId19" Type="http://schemas.openxmlformats.org/officeDocument/2006/relationships/hyperlink" Target="http://www.patientkommunikation.dk/siteassets/medier-til-varktojer---patientkommunikation/folder-tal-med-patienten/w_talmedpatienten_0000000194.pdf" TargetMode="External"/><Relationship Id="rId31" Type="http://schemas.openxmlformats.org/officeDocument/2006/relationships/hyperlink" Target="https://www.nbv.cardio.dk/dyslipidaem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tsinformation.dk/pdfPrint.aspx?id=202412" TargetMode="External"/><Relationship Id="rId14" Type="http://schemas.openxmlformats.org/officeDocument/2006/relationships/hyperlink" Target="https://stps.dk/da/sundhedsprofessionelle-og-myndigheder/rapporter-en-utilsigtet-haendelse/" TargetMode="External"/><Relationship Id="rId22" Type="http://schemas.openxmlformats.org/officeDocument/2006/relationships/hyperlink" Target="https://laegemiddelstyrelsen.dk/da/apoteker/apoteker/~/media/F1C2137A74E04376A1623546D18B7F39.ashx" TargetMode="External"/><Relationship Id="rId27" Type="http://schemas.openxmlformats.org/officeDocument/2006/relationships/hyperlink" Target="https://vejledninger.dsam.dk/media/files/4/guidelines-2018-final.pdf" TargetMode="External"/><Relationship Id="rId30" Type="http://schemas.openxmlformats.org/officeDocument/2006/relationships/hyperlink" Target="https://www.nbv.cardio.dk/hypertension" TargetMode="External"/><Relationship Id="rId35" Type="http://schemas.openxmlformats.org/officeDocument/2006/relationships/hyperlink" Target="https://www.sst.dk/da/rationel-farmakoterapi/maanedsbladet/2016/rationel-farmakoterapi-6,-2016/p-piller-hvilken-en"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E66B6AE5.dotm</Template>
  <TotalTime>2</TotalTime>
  <Pages>4</Pages>
  <Words>1682</Words>
  <Characters>10261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Pultz</dc:creator>
  <cp:keywords/>
  <dc:description/>
  <cp:lastModifiedBy>Kristin Rose Primdahl</cp:lastModifiedBy>
  <cp:revision>3</cp:revision>
  <dcterms:created xsi:type="dcterms:W3CDTF">2019-04-26T12:04:00Z</dcterms:created>
  <dcterms:modified xsi:type="dcterms:W3CDTF">2019-04-26T13:39:00Z</dcterms:modified>
</cp:coreProperties>
</file>